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353" w:rsidRDefault="00745353" w:rsidP="00745353">
      <w:pPr>
        <w:rPr>
          <w:sz w:val="16"/>
          <w:szCs w:val="16"/>
        </w:rPr>
      </w:pPr>
    </w:p>
    <w:p w:rsidR="00745353" w:rsidRDefault="00745353" w:rsidP="00745353">
      <w:pPr>
        <w:rPr>
          <w:sz w:val="16"/>
          <w:szCs w:val="16"/>
        </w:rPr>
      </w:pPr>
    </w:p>
    <w:p w:rsidR="00745353" w:rsidRDefault="00660A4D" w:rsidP="00745353">
      <w:pPr>
        <w:rPr>
          <w:sz w:val="16"/>
          <w:szCs w:val="16"/>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111760</wp:posOffset>
                </wp:positionV>
                <wp:extent cx="3429000" cy="342900"/>
                <wp:effectExtent l="13970" t="6985" r="14605" b="12065"/>
                <wp:wrapNone/>
                <wp:docPr id="4"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429000" cy="342900"/>
                        </a:xfrm>
                        <a:prstGeom prst="rect">
                          <a:avLst/>
                        </a:prstGeom>
                        <a:extLst>
                          <a:ext uri="{AF507438-7753-43E0-B8FC-AC1667EBCBE1}">
                            <a14:hiddenEffects xmlns:a14="http://schemas.microsoft.com/office/drawing/2010/main">
                              <a:effectLst/>
                            </a14:hiddenEffects>
                          </a:ext>
                        </a:extLst>
                      </wps:spPr>
                      <wps:txbx>
                        <w:txbxContent>
                          <w:p w:rsidR="00660A4D" w:rsidRDefault="00660A4D" w:rsidP="00660A4D">
                            <w:pPr>
                              <w:pStyle w:val="a8"/>
                              <w:spacing w:before="0" w:beforeAutospacing="0" w:after="0" w:afterAutospacing="0"/>
                              <w:jc w:val="center"/>
                            </w:pPr>
                            <w:r>
                              <w:rPr>
                                <w:rFonts w:ascii="Georgia" w:hAnsi="Georgia"/>
                                <w:color w:val="C0C0C0"/>
                                <w14:textOutline w14:w="9525" w14:cap="flat" w14:cmpd="sng" w14:algn="ctr">
                                  <w14:solidFill>
                                    <w14:srgbClr w14:val="000000"/>
                                  </w14:solidFill>
                                  <w14:prstDash w14:val="solid"/>
                                  <w14:round/>
                                </w14:textOutline>
                              </w:rPr>
                              <w:t>ОСНОВНО УЧИЛИЩЕ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135pt;margin-top:8.8pt;width:270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" filled="f" stroked="f">
                <o:lock v:ext="edit" shapetype="t"/>
                <v:textbox style="mso-fit-shape-to-text:t">
                  <w:txbxContent>
                    <w:p w:rsidR="00660A4D" w:rsidRDefault="00660A4D" w:rsidP="00660A4D">
                      <w:pPr>
                        <w:pStyle w:val="a8"/>
                        <w:spacing w:before="0" w:beforeAutospacing="0" w:after="0" w:afterAutospacing="0"/>
                        <w:jc w:val="center"/>
                      </w:pPr>
                      <w:r>
                        <w:rPr>
                          <w:rFonts w:ascii="Georgia" w:hAnsi="Georgia"/>
                          <w:color w:val="C0C0C0"/>
                          <w14:textOutline w14:w="9525" w14:cap="flat" w14:cmpd="sng" w14:algn="ctr">
                            <w14:solidFill>
                              <w14:srgbClr w14:val="000000"/>
                            </w14:solidFill>
                            <w14:prstDash w14:val="solid"/>
                            <w14:round/>
                          </w14:textOutline>
                        </w:rPr>
                        <w:t>ОСНОВНО УЧИЛИЩЕ</w:t>
                      </w:r>
                    </w:p>
                  </w:txbxContent>
                </v:textbox>
              </v:shape>
            </w:pict>
          </mc:Fallback>
        </mc:AlternateContent>
      </w:r>
    </w:p>
    <w:p w:rsidR="00745353" w:rsidRDefault="00660A4D" w:rsidP="00745353">
      <w:pPr>
        <w:rPr>
          <w:sz w:val="16"/>
          <w:szCs w:val="16"/>
        </w:rPr>
      </w:pPr>
      <w:r>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337820</wp:posOffset>
                </wp:positionV>
                <wp:extent cx="3900805" cy="342900"/>
                <wp:effectExtent l="13970" t="6985" r="9525" b="12065"/>
                <wp:wrapNone/>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900805" cy="342900"/>
                        </a:xfrm>
                        <a:prstGeom prst="rect">
                          <a:avLst/>
                        </a:prstGeom>
                        <a:extLst>
                          <a:ext uri="{AF507438-7753-43E0-B8FC-AC1667EBCBE1}">
                            <a14:hiddenEffects xmlns:a14="http://schemas.microsoft.com/office/drawing/2010/main">
                              <a:effectLst/>
                            </a14:hiddenEffects>
                          </a:ext>
                        </a:extLst>
                      </wps:spPr>
                      <wps:txbx>
                        <w:txbxContent>
                          <w:p w:rsidR="00660A4D" w:rsidRDefault="00660A4D" w:rsidP="00660A4D">
                            <w:pPr>
                              <w:pStyle w:val="a8"/>
                              <w:spacing w:before="0" w:beforeAutospacing="0" w:after="0" w:afterAutospacing="0"/>
                              <w:jc w:val="center"/>
                            </w:pPr>
                            <w:r>
                              <w:rPr>
                                <w:rFonts w:ascii="Georgia" w:hAnsi="Georgia"/>
                                <w:color w:val="C0C0C0"/>
                                <w:sz w:val="28"/>
                                <w:szCs w:val="28"/>
                                <w14:textOutline w14:w="9525" w14:cap="flat" w14:cmpd="sng" w14:algn="ctr">
                                  <w14:solidFill>
                                    <w14:srgbClr w14:val="000000"/>
                                  </w14:solidFill>
                                  <w14:prstDash w14:val="solid"/>
                                  <w14:round/>
                                </w14:textOutline>
                              </w:rPr>
                              <w:t>“ СВ.СВ. КИРИЛ И МЕТОДИЙ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2" o:spid="_x0000_s1027" type="#_x0000_t202" style="position:absolute;margin-left:117pt;margin-top:26.6pt;width:307.1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" filled="f" stroked="f">
                <o:lock v:ext="edit" shapetype="t"/>
                <v:textbox style="mso-fit-shape-to-text:t">
                  <w:txbxContent>
                    <w:p w:rsidR="00660A4D" w:rsidRDefault="00660A4D" w:rsidP="00660A4D">
                      <w:pPr>
                        <w:pStyle w:val="a8"/>
                        <w:spacing w:before="0" w:beforeAutospacing="0" w:after="0" w:afterAutospacing="0"/>
                        <w:jc w:val="center"/>
                      </w:pPr>
                      <w:r>
                        <w:rPr>
                          <w:rFonts w:ascii="Georgia" w:hAnsi="Georgia"/>
                          <w:color w:val="C0C0C0"/>
                          <w:sz w:val="28"/>
                          <w:szCs w:val="28"/>
                          <w14:textOutline w14:w="9525" w14:cap="flat" w14:cmpd="sng" w14:algn="ctr">
                            <w14:solidFill>
                              <w14:srgbClr w14:val="000000"/>
                            </w14:solidFill>
                            <w14:prstDash w14:val="solid"/>
                            <w14:round/>
                          </w14:textOutline>
                        </w:rPr>
                        <w:t>“ СВ.СВ. КИРИЛ И МЕТОДИЙ ”</w:t>
                      </w:r>
                    </w:p>
                  </w:txbxContent>
                </v:textbox>
              </v:shape>
            </w:pict>
          </mc:Fallback>
        </mc:AlternateContent>
      </w:r>
      <w:r>
        <w:rPr>
          <w:noProof/>
          <w:sz w:val="16"/>
          <w:szCs w:val="16"/>
        </w:rPr>
        <mc:AlternateContent>
          <mc:Choice Requires="wps">
            <w:drawing>
              <wp:anchor distT="0" distB="0" distL="114300" distR="114300" simplePos="0" relativeHeight="251660288" behindDoc="0" locked="0" layoutInCell="1" allowOverlap="1">
                <wp:simplePos x="0" y="0"/>
                <wp:positionH relativeFrom="column">
                  <wp:posOffset>1371600</wp:posOffset>
                </wp:positionH>
                <wp:positionV relativeFrom="paragraph">
                  <wp:posOffset>795020</wp:posOffset>
                </wp:positionV>
                <wp:extent cx="4129405" cy="228600"/>
                <wp:effectExtent l="13970" t="6985" r="19050" b="12065"/>
                <wp:wrapNone/>
                <wp:docPr id="2"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9405" cy="228600"/>
                        </a:xfrm>
                        <a:prstGeom prst="rect">
                          <a:avLst/>
                        </a:prstGeom>
                        <a:extLst>
                          <a:ext uri="{AF507438-7753-43E0-B8FC-AC1667EBCBE1}">
                            <a14:hiddenEffects xmlns:a14="http://schemas.microsoft.com/office/drawing/2010/main">
                              <a:effectLst/>
                            </a14:hiddenEffects>
                          </a:ext>
                        </a:extLst>
                      </wps:spPr>
                      <wps:txbx>
                        <w:txbxContent>
                          <w:p w:rsidR="00660A4D" w:rsidRDefault="00660A4D" w:rsidP="00660A4D">
                            <w:pPr>
                              <w:pStyle w:val="a8"/>
                              <w:spacing w:before="0" w:beforeAutospacing="0" w:after="0" w:afterAutospacing="0"/>
                              <w:jc w:val="center"/>
                            </w:pPr>
                            <w:r>
                              <w:rPr>
                                <w:rFonts w:ascii="Georgia" w:hAnsi="Georgia"/>
                                <w:color w:val="C0C0C0"/>
                                <w:sz w:val="28"/>
                                <w:szCs w:val="28"/>
                                <w14:textOutline w14:w="9525" w14:cap="flat" w14:cmpd="sng" w14:algn="ctr">
                                  <w14:solidFill>
                                    <w14:srgbClr w14:val="000000"/>
                                  </w14:solidFill>
                                  <w14:prstDash w14:val="solid"/>
                                  <w14:round/>
                                </w14:textOutline>
                              </w:rPr>
                              <w:t>С. ДРАГАНОВЕЦ, ОБЩ. ТЪРГОВИЩЕ</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8" type="#_x0000_t202" style="position:absolute;margin-left:108pt;margin-top:62.6pt;width:325.1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" filled="f" stroked="f">
                <o:lock v:ext="edit" shapetype="t"/>
                <v:textbox style="mso-fit-shape-to-text:t">
                  <w:txbxContent>
                    <w:p w:rsidR="00660A4D" w:rsidRDefault="00660A4D" w:rsidP="00660A4D">
                      <w:pPr>
                        <w:pStyle w:val="a8"/>
                        <w:spacing w:before="0" w:beforeAutospacing="0" w:after="0" w:afterAutospacing="0"/>
                        <w:jc w:val="center"/>
                      </w:pPr>
                      <w:r>
                        <w:rPr>
                          <w:rFonts w:ascii="Georgia" w:hAnsi="Georgia"/>
                          <w:color w:val="C0C0C0"/>
                          <w:sz w:val="28"/>
                          <w:szCs w:val="28"/>
                          <w14:textOutline w14:w="9525" w14:cap="flat" w14:cmpd="sng" w14:algn="ctr">
                            <w14:solidFill>
                              <w14:srgbClr w14:val="000000"/>
                            </w14:solidFill>
                            <w14:prstDash w14:val="solid"/>
                            <w14:round/>
                          </w14:textOutline>
                        </w:rPr>
                        <w:t>С. ДРАГАНОВЕЦ, ОБЩ. ТЪРГОВИЩЕ</w:t>
                      </w:r>
                    </w:p>
                  </w:txbxContent>
                </v:textbox>
              </v:shape>
            </w:pict>
          </mc:Fallback>
        </mc:AlternateContent>
      </w:r>
      <w:r w:rsidR="00745353">
        <w:rPr>
          <w:sz w:val="16"/>
          <w:szCs w:val="16"/>
        </w:rPr>
        <w:t xml:space="preserve"> </w:t>
      </w:r>
      <w:r w:rsidR="00745353">
        <w:rPr>
          <w:noProof/>
          <w:sz w:val="16"/>
          <w:szCs w:val="16"/>
        </w:rPr>
        <w:drawing>
          <wp:inline distT="0" distB="0" distL="0" distR="0" wp14:anchorId="77764D5A" wp14:editId="10826D65">
            <wp:extent cx="1037590" cy="1027430"/>
            <wp:effectExtent l="19050" t="0" r="0" b="0"/>
            <wp:docPr id="1" name="Картина 1" descr="Кирил и Методий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ирил и Методий1"/>
                    <pic:cNvPicPr>
                      <a:picLocks noChangeAspect="1" noChangeArrowheads="1"/>
                    </pic:cNvPicPr>
                  </pic:nvPicPr>
                  <pic:blipFill>
                    <a:blip r:embed="rId5" cstate="print"/>
                    <a:srcRect/>
                    <a:stretch>
                      <a:fillRect/>
                    </a:stretch>
                  </pic:blipFill>
                  <pic:spPr bwMode="auto">
                    <a:xfrm>
                      <a:off x="0" y="0"/>
                      <a:ext cx="1037590" cy="1027430"/>
                    </a:xfrm>
                    <a:prstGeom prst="rect">
                      <a:avLst/>
                    </a:prstGeom>
                    <a:noFill/>
                    <a:ln w="9525">
                      <a:noFill/>
                      <a:miter lim="800000"/>
                      <a:headEnd/>
                      <a:tailEnd/>
                    </a:ln>
                  </pic:spPr>
                </pic:pic>
              </a:graphicData>
            </a:graphic>
          </wp:inline>
        </w:drawing>
      </w:r>
      <w:r w:rsidR="00745353">
        <w:rPr>
          <w:sz w:val="16"/>
          <w:szCs w:val="16"/>
        </w:rPr>
        <w:tab/>
      </w:r>
      <w:r w:rsidR="00745353" w:rsidRPr="00DD19B1">
        <w:rPr>
          <w:sz w:val="16"/>
          <w:szCs w:val="16"/>
        </w:rPr>
        <w:t xml:space="preserve">                       </w:t>
      </w:r>
    </w:p>
    <w:p w:rsidR="009C5515" w:rsidRDefault="00745353" w:rsidP="009C5515">
      <w:pPr>
        <w:ind w:left="2124" w:firstLine="708"/>
        <w:rPr>
          <w:sz w:val="18"/>
          <w:szCs w:val="18"/>
        </w:rPr>
      </w:pPr>
      <w:r w:rsidRPr="00E72CED">
        <w:rPr>
          <w:sz w:val="18"/>
          <w:szCs w:val="18"/>
        </w:rPr>
        <w:t xml:space="preserve">  ул. Камчия № 9, тел.: 06003 / 2571, </w:t>
      </w:r>
      <w:r w:rsidRPr="00E72CED">
        <w:rPr>
          <w:sz w:val="18"/>
          <w:szCs w:val="18"/>
          <w:lang w:val="en-US"/>
        </w:rPr>
        <w:t>e</w:t>
      </w:r>
      <w:r w:rsidRPr="00E72CED">
        <w:rPr>
          <w:sz w:val="18"/>
          <w:szCs w:val="18"/>
        </w:rPr>
        <w:t>-</w:t>
      </w:r>
      <w:r w:rsidRPr="00E72CED">
        <w:rPr>
          <w:sz w:val="18"/>
          <w:szCs w:val="18"/>
          <w:lang w:val="en-US"/>
        </w:rPr>
        <w:t>mail</w:t>
      </w:r>
      <w:r w:rsidRPr="00E72CED">
        <w:rPr>
          <w:sz w:val="18"/>
          <w:szCs w:val="18"/>
        </w:rPr>
        <w:t xml:space="preserve">: </w:t>
      </w:r>
      <w:hyperlink r:id="rId6" w:history="1">
        <w:r w:rsidRPr="00624392">
          <w:rPr>
            <w:rStyle w:val="a5"/>
            <w:sz w:val="18"/>
            <w:szCs w:val="18"/>
            <w:lang w:val="en-US"/>
          </w:rPr>
          <w:t>ou</w:t>
        </w:r>
        <w:r w:rsidRPr="00624392">
          <w:rPr>
            <w:rStyle w:val="a5"/>
            <w:sz w:val="18"/>
            <w:szCs w:val="18"/>
          </w:rPr>
          <w:t>_</w:t>
        </w:r>
        <w:r w:rsidRPr="00624392">
          <w:rPr>
            <w:rStyle w:val="a5"/>
            <w:sz w:val="18"/>
            <w:szCs w:val="18"/>
            <w:lang w:val="en-US"/>
          </w:rPr>
          <w:t>draganovec</w:t>
        </w:r>
        <w:r w:rsidRPr="00624392">
          <w:rPr>
            <w:rStyle w:val="a5"/>
            <w:sz w:val="18"/>
            <w:szCs w:val="18"/>
          </w:rPr>
          <w:t>@</w:t>
        </w:r>
        <w:r w:rsidRPr="00624392">
          <w:rPr>
            <w:rStyle w:val="a5"/>
            <w:sz w:val="18"/>
            <w:szCs w:val="18"/>
            <w:lang w:val="en-US"/>
          </w:rPr>
          <w:t>abv</w:t>
        </w:r>
        <w:r w:rsidRPr="00624392">
          <w:rPr>
            <w:rStyle w:val="a5"/>
            <w:sz w:val="18"/>
            <w:szCs w:val="18"/>
          </w:rPr>
          <w:t>.</w:t>
        </w:r>
        <w:r w:rsidRPr="00624392">
          <w:rPr>
            <w:rStyle w:val="a5"/>
            <w:sz w:val="18"/>
            <w:szCs w:val="18"/>
            <w:lang w:val="en-US"/>
          </w:rPr>
          <w:t>bg</w:t>
        </w:r>
      </w:hyperlink>
    </w:p>
    <w:p w:rsidR="00745353" w:rsidRPr="00745353" w:rsidRDefault="00745353" w:rsidP="00745353">
      <w:pPr>
        <w:ind w:left="2124" w:firstLine="708"/>
        <w:rPr>
          <w:sz w:val="18"/>
          <w:szCs w:val="18"/>
        </w:rPr>
      </w:pPr>
    </w:p>
    <w:p w:rsidR="008806C9" w:rsidRPr="00524B49" w:rsidRDefault="008806C9" w:rsidP="00524B49">
      <w:pPr>
        <w:jc w:val="center"/>
        <w:rPr>
          <w:b/>
        </w:rPr>
      </w:pPr>
      <w:r w:rsidRPr="00524B49">
        <w:rPr>
          <w:b/>
        </w:rPr>
        <w:t>ОБЯВЛЕНИЕ ЗА НАБИРАНЕ НА ОФЕРТИ</w:t>
      </w:r>
    </w:p>
    <w:p w:rsidR="008806C9" w:rsidRPr="008806C9" w:rsidRDefault="008806C9" w:rsidP="008806C9">
      <w:pPr>
        <w:jc w:val="both"/>
        <w:rPr>
          <w:sz w:val="28"/>
          <w:szCs w:val="28"/>
        </w:rPr>
      </w:pPr>
      <w:r>
        <w:t xml:space="preserve"> </w:t>
      </w:r>
    </w:p>
    <w:p w:rsidR="008806C9" w:rsidRDefault="008806C9" w:rsidP="008806C9">
      <w:pPr>
        <w:pStyle w:val="Default"/>
        <w:jc w:val="both"/>
        <w:rPr>
          <w:b/>
          <w:bCs/>
          <w:i/>
          <w:iCs/>
          <w:sz w:val="28"/>
          <w:szCs w:val="28"/>
        </w:rPr>
      </w:pPr>
      <w:r w:rsidRPr="008806C9">
        <w:rPr>
          <w:sz w:val="28"/>
          <w:szCs w:val="28"/>
        </w:rPr>
        <w:t>Изпълнение на инвестиции по</w:t>
      </w:r>
      <w:r w:rsidRPr="008806C9">
        <w:rPr>
          <w:sz w:val="28"/>
          <w:szCs w:val="28"/>
          <w:lang w:val="en-US"/>
        </w:rPr>
        <w:t xml:space="preserve"> </w:t>
      </w:r>
      <w:r w:rsidRPr="008806C9">
        <w:rPr>
          <w:sz w:val="28"/>
          <w:szCs w:val="28"/>
        </w:rPr>
        <w:t xml:space="preserve">механизма за възстановяване и устойчивост BG-RRP-1.015 „Училищна STEM среда", сключен договор с </w:t>
      </w:r>
      <w:r w:rsidRPr="008806C9">
        <w:rPr>
          <w:b/>
          <w:bCs/>
          <w:sz w:val="28"/>
          <w:szCs w:val="28"/>
        </w:rPr>
        <w:t xml:space="preserve">Изпълнителна агенция „Програма за образование“ </w:t>
      </w:r>
      <w:r w:rsidRPr="008806C9">
        <w:rPr>
          <w:sz w:val="28"/>
          <w:szCs w:val="28"/>
        </w:rPr>
        <w:t xml:space="preserve"> </w:t>
      </w:r>
      <w:r w:rsidRPr="008806C9">
        <w:rPr>
          <w:b/>
          <w:bCs/>
          <w:i/>
          <w:iCs/>
          <w:sz w:val="28"/>
          <w:szCs w:val="28"/>
        </w:rPr>
        <w:t>BG-RRP-1.015-1312-C01</w:t>
      </w:r>
    </w:p>
    <w:p w:rsidR="008806C9" w:rsidRDefault="008806C9" w:rsidP="008806C9">
      <w:pPr>
        <w:pStyle w:val="Default"/>
        <w:jc w:val="both"/>
        <w:rPr>
          <w:b/>
          <w:bCs/>
          <w:i/>
          <w:iCs/>
          <w:sz w:val="28"/>
          <w:szCs w:val="28"/>
        </w:rPr>
      </w:pPr>
    </w:p>
    <w:p w:rsidR="008806C9" w:rsidRDefault="008806C9" w:rsidP="008806C9">
      <w:pPr>
        <w:pStyle w:val="Default"/>
        <w:jc w:val="both"/>
        <w:rPr>
          <w:b/>
          <w:bCs/>
          <w:i/>
          <w:iCs/>
          <w:sz w:val="28"/>
          <w:szCs w:val="28"/>
        </w:rPr>
      </w:pPr>
    </w:p>
    <w:p w:rsidR="00524B49" w:rsidRDefault="008806C9" w:rsidP="00524B49">
      <w:pPr>
        <w:pStyle w:val="Default"/>
        <w:jc w:val="both"/>
        <w:rPr>
          <w:b/>
          <w:bCs/>
          <w:i/>
          <w:iCs/>
          <w:sz w:val="28"/>
          <w:szCs w:val="28"/>
        </w:rPr>
      </w:pPr>
      <w:r>
        <w:rPr>
          <w:bCs/>
          <w:iCs/>
          <w:sz w:val="28"/>
          <w:szCs w:val="28"/>
        </w:rPr>
        <w:t xml:space="preserve">От </w:t>
      </w:r>
      <w:r w:rsidR="0079558D">
        <w:rPr>
          <w:bCs/>
          <w:iCs/>
          <w:sz w:val="28"/>
          <w:szCs w:val="28"/>
        </w:rPr>
        <w:t>18.03.2025</w:t>
      </w:r>
      <w:r>
        <w:rPr>
          <w:bCs/>
          <w:iCs/>
          <w:sz w:val="28"/>
          <w:szCs w:val="28"/>
        </w:rPr>
        <w:t xml:space="preserve"> г. до </w:t>
      </w:r>
      <w:r w:rsidR="0079558D">
        <w:rPr>
          <w:bCs/>
          <w:iCs/>
          <w:sz w:val="28"/>
          <w:szCs w:val="28"/>
        </w:rPr>
        <w:t>21.03.2025 г</w:t>
      </w:r>
      <w:r>
        <w:rPr>
          <w:bCs/>
          <w:iCs/>
          <w:sz w:val="28"/>
          <w:szCs w:val="28"/>
        </w:rPr>
        <w:t xml:space="preserve">. </w:t>
      </w:r>
      <w:r w:rsidR="00524B49">
        <w:rPr>
          <w:bCs/>
          <w:iCs/>
          <w:sz w:val="28"/>
          <w:szCs w:val="28"/>
        </w:rPr>
        <w:t xml:space="preserve">ОУ „Свети свети Кирил и Методий“ набира оферти за </w:t>
      </w:r>
      <w:r w:rsidR="00524B49" w:rsidRPr="008806C9">
        <w:rPr>
          <w:sz w:val="28"/>
          <w:szCs w:val="28"/>
        </w:rPr>
        <w:t>Изпълнение на инвестиции по</w:t>
      </w:r>
      <w:r w:rsidR="00524B49" w:rsidRPr="008806C9">
        <w:rPr>
          <w:sz w:val="28"/>
          <w:szCs w:val="28"/>
          <w:lang w:val="en-US"/>
        </w:rPr>
        <w:t xml:space="preserve"> </w:t>
      </w:r>
      <w:r w:rsidR="00524B49" w:rsidRPr="008806C9">
        <w:rPr>
          <w:sz w:val="28"/>
          <w:szCs w:val="28"/>
        </w:rPr>
        <w:t>механизма за възстановяване и устойчивост BG-RRP-1.015 „Училищна STEM среда",</w:t>
      </w:r>
      <w:r w:rsidR="00524B49">
        <w:rPr>
          <w:sz w:val="28"/>
          <w:szCs w:val="28"/>
        </w:rPr>
        <w:t xml:space="preserve"> по</w:t>
      </w:r>
      <w:r w:rsidR="00524B49" w:rsidRPr="008806C9">
        <w:rPr>
          <w:sz w:val="28"/>
          <w:szCs w:val="28"/>
        </w:rPr>
        <w:t xml:space="preserve"> сключен договор с </w:t>
      </w:r>
      <w:r w:rsidR="00524B49" w:rsidRPr="008806C9">
        <w:rPr>
          <w:b/>
          <w:bCs/>
          <w:sz w:val="28"/>
          <w:szCs w:val="28"/>
        </w:rPr>
        <w:t xml:space="preserve">Изпълнителна агенция „Програма за образование“ </w:t>
      </w:r>
      <w:r w:rsidR="00524B49" w:rsidRPr="008806C9">
        <w:rPr>
          <w:sz w:val="28"/>
          <w:szCs w:val="28"/>
        </w:rPr>
        <w:t xml:space="preserve"> </w:t>
      </w:r>
      <w:r w:rsidR="00524B49" w:rsidRPr="008806C9">
        <w:rPr>
          <w:b/>
          <w:bCs/>
          <w:i/>
          <w:iCs/>
          <w:sz w:val="28"/>
          <w:szCs w:val="28"/>
        </w:rPr>
        <w:t>BG-RRP-1.015-1312-C01</w:t>
      </w:r>
      <w:r w:rsidR="00524B49">
        <w:rPr>
          <w:b/>
          <w:bCs/>
          <w:i/>
          <w:iCs/>
          <w:sz w:val="28"/>
          <w:szCs w:val="28"/>
        </w:rPr>
        <w:t>.</w:t>
      </w:r>
    </w:p>
    <w:p w:rsidR="00524B49" w:rsidRDefault="00524B49" w:rsidP="00524B49">
      <w:pPr>
        <w:pStyle w:val="Default"/>
        <w:jc w:val="both"/>
        <w:rPr>
          <w:b/>
          <w:bCs/>
          <w:i/>
          <w:iCs/>
          <w:sz w:val="28"/>
          <w:szCs w:val="28"/>
        </w:rPr>
      </w:pPr>
    </w:p>
    <w:p w:rsidR="00524B49" w:rsidRDefault="00524B49" w:rsidP="00524B49">
      <w:pPr>
        <w:pStyle w:val="Default"/>
        <w:jc w:val="both"/>
        <w:rPr>
          <w:b/>
          <w:bCs/>
          <w:i/>
          <w:iCs/>
          <w:sz w:val="28"/>
          <w:szCs w:val="28"/>
        </w:rPr>
      </w:pPr>
      <w:r>
        <w:rPr>
          <w:b/>
          <w:bCs/>
          <w:i/>
          <w:iCs/>
          <w:sz w:val="28"/>
          <w:szCs w:val="28"/>
        </w:rPr>
        <w:t xml:space="preserve">Предвидени дейности за изпълнение са на стойност </w:t>
      </w:r>
      <w:r w:rsidR="0079558D">
        <w:rPr>
          <w:b/>
          <w:bCs/>
          <w:i/>
          <w:iCs/>
          <w:sz w:val="28"/>
          <w:szCs w:val="28"/>
        </w:rPr>
        <w:t>30 182,00</w:t>
      </w:r>
      <w:r>
        <w:rPr>
          <w:b/>
          <w:bCs/>
          <w:i/>
          <w:iCs/>
          <w:sz w:val="28"/>
          <w:szCs w:val="28"/>
        </w:rPr>
        <w:t xml:space="preserve"> лв., включващи следното:</w:t>
      </w:r>
    </w:p>
    <w:p w:rsidR="008806C9" w:rsidRPr="008806C9" w:rsidRDefault="008806C9" w:rsidP="008806C9">
      <w:pPr>
        <w:pStyle w:val="Default"/>
        <w:jc w:val="both"/>
        <w:rPr>
          <w:bCs/>
          <w:iCs/>
          <w:sz w:val="28"/>
          <w:szCs w:val="28"/>
        </w:rPr>
      </w:pPr>
    </w:p>
    <w:p w:rsidR="00524B49" w:rsidRDefault="0079558D" w:rsidP="00524B49">
      <w:pPr>
        <w:pStyle w:val="Default"/>
        <w:jc w:val="both"/>
      </w:pPr>
      <w:r>
        <w:t>Лабораторен остров</w:t>
      </w:r>
    </w:p>
    <w:p w:rsidR="00524B49" w:rsidRDefault="0079558D" w:rsidP="00524B49">
      <w:pPr>
        <w:pStyle w:val="Default"/>
        <w:jc w:val="both"/>
      </w:pPr>
      <w:r>
        <w:t>Маса лабораторна триместна</w:t>
      </w:r>
    </w:p>
    <w:p w:rsidR="00524B49" w:rsidRDefault="0079558D" w:rsidP="00524B49">
      <w:pPr>
        <w:pStyle w:val="Default"/>
        <w:jc w:val="both"/>
      </w:pPr>
      <w:r>
        <w:t>Демонстрационна маса на преподавател</w:t>
      </w:r>
    </w:p>
    <w:p w:rsidR="00524B49" w:rsidRDefault="0079558D" w:rsidP="00524B49">
      <w:pPr>
        <w:pStyle w:val="Default"/>
        <w:jc w:val="both"/>
      </w:pPr>
      <w:r>
        <w:t xml:space="preserve">Шкаф - </w:t>
      </w:r>
      <w:proofErr w:type="spellStart"/>
      <w:r>
        <w:t>лаборатерен</w:t>
      </w:r>
      <w:proofErr w:type="spellEnd"/>
    </w:p>
    <w:p w:rsidR="00524B49" w:rsidRDefault="0079558D" w:rsidP="00524B49">
      <w:pPr>
        <w:pStyle w:val="Default"/>
        <w:jc w:val="both"/>
      </w:pPr>
      <w:r>
        <w:t>Ученически столове</w:t>
      </w:r>
    </w:p>
    <w:p w:rsidR="00524B49" w:rsidRDefault="0079558D" w:rsidP="00524B49">
      <w:pPr>
        <w:pStyle w:val="Default"/>
        <w:jc w:val="both"/>
      </w:pPr>
      <w:r>
        <w:t>Стол за преподавателя</w:t>
      </w:r>
    </w:p>
    <w:p w:rsidR="00524B49" w:rsidRDefault="0079558D" w:rsidP="00524B49">
      <w:pPr>
        <w:pStyle w:val="Default"/>
        <w:jc w:val="both"/>
        <w:rPr>
          <w:rFonts w:ascii="Monotype Corsiva" w:hAnsi="Monotype Corsiva"/>
          <w:b/>
          <w:i/>
          <w:sz w:val="36"/>
          <w:szCs w:val="36"/>
        </w:rPr>
      </w:pPr>
      <w:r w:rsidRPr="0079558D">
        <w:rPr>
          <w:rFonts w:ascii="Monotype Corsiva" w:hAnsi="Monotype Corsiva"/>
          <w:b/>
          <w:i/>
          <w:sz w:val="36"/>
          <w:szCs w:val="36"/>
        </w:rPr>
        <w:t>Оборудване:</w:t>
      </w:r>
    </w:p>
    <w:p w:rsidR="0079558D" w:rsidRDefault="0079558D" w:rsidP="00524B49">
      <w:pPr>
        <w:pStyle w:val="Default"/>
        <w:jc w:val="both"/>
      </w:pPr>
      <w:r>
        <w:t>Голям СТЕМ комплект моето тяло и здраве</w:t>
      </w:r>
    </w:p>
    <w:p w:rsidR="0079558D" w:rsidRDefault="0079558D" w:rsidP="00524B49">
      <w:pPr>
        <w:pStyle w:val="Default"/>
        <w:jc w:val="both"/>
      </w:pPr>
      <w:r>
        <w:t>Царевица – модел на растежа</w:t>
      </w:r>
    </w:p>
    <w:p w:rsidR="0079558D" w:rsidRDefault="0079558D" w:rsidP="00524B49">
      <w:pPr>
        <w:pStyle w:val="Default"/>
        <w:jc w:val="both"/>
      </w:pPr>
      <w:r>
        <w:t>Комплект механика</w:t>
      </w:r>
    </w:p>
    <w:p w:rsidR="0079558D" w:rsidRDefault="0079558D" w:rsidP="00524B49">
      <w:pPr>
        <w:pStyle w:val="Default"/>
        <w:jc w:val="both"/>
      </w:pPr>
      <w:r>
        <w:t>Комплект молекули</w:t>
      </w:r>
    </w:p>
    <w:p w:rsidR="0079558D" w:rsidRDefault="0079558D" w:rsidP="00524B49">
      <w:pPr>
        <w:pStyle w:val="Default"/>
        <w:jc w:val="both"/>
      </w:pPr>
      <w:r>
        <w:t>Комплект въздух и вода</w:t>
      </w:r>
    </w:p>
    <w:p w:rsidR="0079558D" w:rsidRDefault="0079558D" w:rsidP="00524B49">
      <w:pPr>
        <w:pStyle w:val="Default"/>
        <w:jc w:val="both"/>
      </w:pPr>
      <w:r>
        <w:t>Торс</w:t>
      </w:r>
    </w:p>
    <w:p w:rsidR="0079558D" w:rsidRDefault="0079558D" w:rsidP="00524B49">
      <w:pPr>
        <w:pStyle w:val="Default"/>
        <w:jc w:val="both"/>
      </w:pPr>
      <w:r>
        <w:t>Голяма магнитна карта на България</w:t>
      </w:r>
    </w:p>
    <w:p w:rsidR="0079558D" w:rsidRDefault="0079558D" w:rsidP="00524B49">
      <w:pPr>
        <w:pStyle w:val="Default"/>
        <w:jc w:val="both"/>
      </w:pPr>
      <w:r>
        <w:t xml:space="preserve">Комплект за </w:t>
      </w:r>
      <w:r w:rsidR="00BF35EE">
        <w:t>експерименти – въведение в електрониката</w:t>
      </w:r>
    </w:p>
    <w:p w:rsidR="00BF35EE" w:rsidRDefault="00BF35EE" w:rsidP="00524B49">
      <w:pPr>
        <w:pStyle w:val="Default"/>
        <w:jc w:val="both"/>
      </w:pPr>
      <w:r>
        <w:t>Комплект по химия- набор стъклария Първи стъпки</w:t>
      </w:r>
    </w:p>
    <w:p w:rsidR="00BF35EE" w:rsidRDefault="00BF35EE" w:rsidP="00524B49">
      <w:pPr>
        <w:pStyle w:val="Default"/>
        <w:jc w:val="both"/>
      </w:pPr>
      <w:r>
        <w:t>Комплект по химия – Въведение в химията</w:t>
      </w:r>
    </w:p>
    <w:p w:rsidR="00BF35EE" w:rsidRDefault="00BF35EE" w:rsidP="00524B49">
      <w:pPr>
        <w:pStyle w:val="Default"/>
        <w:jc w:val="both"/>
      </w:pPr>
      <w:r>
        <w:t>Мобилна лаборатория за изследване на околна среда</w:t>
      </w:r>
    </w:p>
    <w:p w:rsidR="00BF35EE" w:rsidRDefault="00BF35EE" w:rsidP="00524B49">
      <w:pPr>
        <w:pStyle w:val="Default"/>
        <w:jc w:val="both"/>
      </w:pPr>
      <w:r>
        <w:t>Дигитален микроскоп с камера и екран</w:t>
      </w:r>
    </w:p>
    <w:p w:rsidR="00BF35EE" w:rsidRDefault="00BF35EE" w:rsidP="00524B49">
      <w:pPr>
        <w:pStyle w:val="Default"/>
        <w:jc w:val="both"/>
      </w:pPr>
      <w:r>
        <w:t>Голям комплект за експерименти по химия</w:t>
      </w:r>
    </w:p>
    <w:p w:rsidR="00BF35EE" w:rsidRDefault="00BF35EE" w:rsidP="00524B49">
      <w:pPr>
        <w:pStyle w:val="Default"/>
        <w:jc w:val="both"/>
      </w:pPr>
      <w:r>
        <w:t>Молекулярен учителски набор – органична и неорганична химия</w:t>
      </w:r>
    </w:p>
    <w:p w:rsidR="00BF35EE" w:rsidRDefault="00BF35EE" w:rsidP="00524B49">
      <w:pPr>
        <w:pStyle w:val="Default"/>
        <w:jc w:val="both"/>
      </w:pPr>
      <w:r>
        <w:t>Голям СТЕМ комплект по физика – основни научни закони</w:t>
      </w:r>
    </w:p>
    <w:p w:rsidR="00BF35EE" w:rsidRDefault="002E1004" w:rsidP="00524B49">
      <w:pPr>
        <w:pStyle w:val="Default"/>
        <w:jc w:val="both"/>
      </w:pPr>
      <w:r>
        <w:lastRenderedPageBreak/>
        <w:t>Демонстрационно експериментален комплект – домашна соларна система-физика</w:t>
      </w:r>
    </w:p>
    <w:p w:rsidR="002E1004" w:rsidRDefault="002E1004" w:rsidP="00524B49">
      <w:pPr>
        <w:pStyle w:val="Default"/>
        <w:jc w:val="both"/>
      </w:pPr>
      <w:r>
        <w:t>Светът в капка вода</w:t>
      </w:r>
    </w:p>
    <w:p w:rsidR="002E1004" w:rsidRDefault="002E1004" w:rsidP="00524B49">
      <w:pPr>
        <w:pStyle w:val="Default"/>
        <w:jc w:val="both"/>
      </w:pPr>
      <w:r>
        <w:t>Модел на пулсиращо сърце</w:t>
      </w:r>
    </w:p>
    <w:p w:rsidR="002E1004" w:rsidRDefault="002E1004" w:rsidP="00524B49">
      <w:pPr>
        <w:pStyle w:val="Default"/>
        <w:jc w:val="both"/>
      </w:pPr>
      <w:r>
        <w:t>Модел скелет на човек с мускулна система</w:t>
      </w:r>
    </w:p>
    <w:p w:rsidR="002E1004" w:rsidRDefault="002E1004" w:rsidP="00524B49">
      <w:pPr>
        <w:pStyle w:val="Default"/>
        <w:jc w:val="both"/>
      </w:pPr>
      <w:r>
        <w:t>Комплект за обучение по физика- физични явления</w:t>
      </w:r>
    </w:p>
    <w:p w:rsidR="00BF35EE" w:rsidRPr="0079558D" w:rsidRDefault="00BF35EE" w:rsidP="00524B49">
      <w:pPr>
        <w:pStyle w:val="Default"/>
        <w:jc w:val="both"/>
      </w:pPr>
    </w:p>
    <w:p w:rsidR="00524B49" w:rsidRDefault="00524B49" w:rsidP="00524B49">
      <w:pPr>
        <w:pStyle w:val="Heading20"/>
        <w:widowControl/>
        <w:shd w:val="clear" w:color="auto" w:fill="auto"/>
        <w:tabs>
          <w:tab w:val="left" w:pos="1078"/>
        </w:tabs>
        <w:spacing w:line="240" w:lineRule="auto"/>
        <w:contextualSpacing/>
        <w:rPr>
          <w:sz w:val="24"/>
          <w:szCs w:val="24"/>
        </w:rPr>
      </w:pPr>
      <w:r w:rsidRPr="00524B49">
        <w:rPr>
          <w:sz w:val="24"/>
          <w:szCs w:val="24"/>
        </w:rPr>
        <w:t xml:space="preserve">Финансирането се осъществява в рамките на процедура за предоставяне на средства от Механизма за възстановяване и устойчивост, Стълб „Иновативна България“, Компонент 1 „Образование и умения“, Инвестиция 1 „Центрове за НТИМ и иновации в образованието“, процедура чрез директно предоставяне на средства на конкретни крайни получатели BG-RRP-1.015 „Училищна STEM среда“ по Национален план за възстановяване и устойчивост на Република България, финансирано от Европейския съюз – </w:t>
      </w:r>
      <w:proofErr w:type="spellStart"/>
      <w:r w:rsidRPr="00524B49">
        <w:rPr>
          <w:sz w:val="24"/>
          <w:szCs w:val="24"/>
        </w:rPr>
        <w:t>NextGenerationEU</w:t>
      </w:r>
      <w:proofErr w:type="spellEnd"/>
      <w:r w:rsidRPr="00524B49">
        <w:rPr>
          <w:sz w:val="24"/>
          <w:szCs w:val="24"/>
        </w:rPr>
        <w:t>.</w:t>
      </w:r>
      <w:bookmarkStart w:id="0" w:name="bookmark8"/>
    </w:p>
    <w:p w:rsidR="003F06F0" w:rsidRDefault="003F06F0" w:rsidP="00524B49">
      <w:pPr>
        <w:pStyle w:val="Heading20"/>
        <w:widowControl/>
        <w:shd w:val="clear" w:color="auto" w:fill="auto"/>
        <w:tabs>
          <w:tab w:val="left" w:pos="1078"/>
        </w:tabs>
        <w:spacing w:line="240" w:lineRule="auto"/>
        <w:contextualSpacing/>
        <w:rPr>
          <w:sz w:val="24"/>
          <w:szCs w:val="24"/>
        </w:rPr>
      </w:pPr>
      <w:r>
        <w:rPr>
          <w:sz w:val="24"/>
          <w:szCs w:val="24"/>
        </w:rPr>
        <w:t xml:space="preserve">Оферти се приемат до 12.00 часа на </w:t>
      </w:r>
      <w:r w:rsidR="00BF35EE">
        <w:rPr>
          <w:sz w:val="24"/>
          <w:szCs w:val="24"/>
        </w:rPr>
        <w:t>21.03.2025г</w:t>
      </w:r>
      <w:r>
        <w:rPr>
          <w:sz w:val="24"/>
          <w:szCs w:val="24"/>
        </w:rPr>
        <w:t>. в дирекцията на училището в запечатан плик.</w:t>
      </w:r>
    </w:p>
    <w:p w:rsidR="003F06F0" w:rsidRPr="00524B49" w:rsidRDefault="003F06F0" w:rsidP="00524B49">
      <w:pPr>
        <w:pStyle w:val="Heading20"/>
        <w:widowControl/>
        <w:shd w:val="clear" w:color="auto" w:fill="auto"/>
        <w:tabs>
          <w:tab w:val="left" w:pos="1078"/>
        </w:tabs>
        <w:spacing w:line="240" w:lineRule="auto"/>
        <w:contextualSpacing/>
        <w:rPr>
          <w:sz w:val="24"/>
          <w:szCs w:val="24"/>
        </w:rPr>
      </w:pPr>
      <w:r>
        <w:rPr>
          <w:sz w:val="24"/>
          <w:szCs w:val="24"/>
        </w:rPr>
        <w:t xml:space="preserve">Отваряне на офертите  и разглеждане от комисия :от 15.00 часа на </w:t>
      </w:r>
      <w:r w:rsidR="00BF35EE">
        <w:rPr>
          <w:sz w:val="24"/>
          <w:szCs w:val="24"/>
        </w:rPr>
        <w:t>24.03.2025г.</w:t>
      </w:r>
      <w:r>
        <w:rPr>
          <w:sz w:val="24"/>
          <w:szCs w:val="24"/>
        </w:rPr>
        <w:t>.</w:t>
      </w:r>
    </w:p>
    <w:p w:rsidR="00524B49" w:rsidRDefault="00524B49" w:rsidP="00524B49">
      <w:pPr>
        <w:pStyle w:val="Heading20"/>
        <w:widowControl/>
        <w:shd w:val="clear" w:color="auto" w:fill="auto"/>
        <w:tabs>
          <w:tab w:val="left" w:pos="1078"/>
        </w:tabs>
        <w:spacing w:line="240" w:lineRule="auto"/>
        <w:contextualSpacing/>
      </w:pPr>
    </w:p>
    <w:p w:rsidR="00524B49" w:rsidRDefault="00524B49" w:rsidP="00524B49">
      <w:pPr>
        <w:pStyle w:val="Heading20"/>
        <w:widowControl/>
        <w:shd w:val="clear" w:color="auto" w:fill="auto"/>
        <w:tabs>
          <w:tab w:val="left" w:pos="1078"/>
        </w:tabs>
        <w:spacing w:line="240" w:lineRule="auto"/>
        <w:contextualSpacing/>
        <w:rPr>
          <w:sz w:val="24"/>
          <w:szCs w:val="24"/>
        </w:rPr>
      </w:pPr>
      <w:r w:rsidRPr="00524B49">
        <w:t xml:space="preserve"> </w:t>
      </w:r>
      <w:r>
        <w:t>КРИТЕРИЙ ЗА ВЪЗЛАГАНЕ.</w:t>
      </w:r>
      <w:bookmarkEnd w:id="0"/>
    </w:p>
    <w:p w:rsidR="00524B49" w:rsidRDefault="00524B49" w:rsidP="00524B49">
      <w:pPr>
        <w:ind w:firstLine="567"/>
        <w:jc w:val="both"/>
      </w:pPr>
      <w:r>
        <w:t xml:space="preserve">Дейностите се възлагат въз основа на </w:t>
      </w:r>
      <w:r w:rsidR="00BF35EE">
        <w:t>съответствие с посочените в офертата компоненти</w:t>
      </w:r>
      <w:r>
        <w:t xml:space="preserve">. </w:t>
      </w:r>
    </w:p>
    <w:p w:rsidR="00524B49" w:rsidRDefault="00524B49" w:rsidP="00524B49">
      <w:pPr>
        <w:ind w:firstLine="539"/>
        <w:jc w:val="both"/>
        <w:rPr>
          <w:bCs/>
        </w:rPr>
      </w:pPr>
      <w:r>
        <w:rPr>
          <w:bCs/>
        </w:rPr>
        <w:t xml:space="preserve">Всяка оферта се оценява от комисията съобразно комплексното приложение на посочените критерии.  </w:t>
      </w:r>
    </w:p>
    <w:p w:rsidR="00524B49" w:rsidRDefault="00524B49" w:rsidP="00524B49">
      <w:pPr>
        <w:ind w:firstLine="539"/>
        <w:jc w:val="both"/>
        <w:rPr>
          <w:bCs/>
          <w:color w:val="000000"/>
        </w:rPr>
      </w:pPr>
      <w:r>
        <w:rPr>
          <w:bCs/>
        </w:rPr>
        <w:t>Всички предложени цени за изпълнение на проектното предложение следва да се посочват в лева без включен ДДС, да са различни от нула и да са записани най-много до втория знак след десетичната запетая. При разминаване между предложената обща цена без ДДС и тази с ДДС, за меродавна се взема цената без ДДС.</w:t>
      </w:r>
    </w:p>
    <w:p w:rsidR="00524B49" w:rsidRDefault="00524B49" w:rsidP="00524B49">
      <w:pPr>
        <w:ind w:firstLine="539"/>
        <w:jc w:val="both"/>
        <w:rPr>
          <w:bCs/>
        </w:rPr>
      </w:pPr>
      <w:r>
        <w:rPr>
          <w:bCs/>
        </w:rPr>
        <w:t>Предложените от участникът цени са обвързващи за целия срок на изпълнение на поръчката.</w:t>
      </w:r>
    </w:p>
    <w:p w:rsidR="00524B49" w:rsidRDefault="00524B49" w:rsidP="00524B49">
      <w:pPr>
        <w:pStyle w:val="Bodytext20"/>
        <w:widowControl/>
        <w:shd w:val="clear" w:color="auto" w:fill="auto"/>
        <w:spacing w:line="240" w:lineRule="auto"/>
        <w:ind w:firstLine="760"/>
      </w:pPr>
    </w:p>
    <w:p w:rsidR="00524B49" w:rsidRDefault="00524B49" w:rsidP="00524B49">
      <w:pPr>
        <w:pStyle w:val="Heading20"/>
        <w:widowControl/>
        <w:shd w:val="clear" w:color="auto" w:fill="auto"/>
        <w:tabs>
          <w:tab w:val="left" w:pos="1082"/>
        </w:tabs>
        <w:spacing w:line="240" w:lineRule="auto"/>
        <w:contextualSpacing/>
      </w:pPr>
      <w:bookmarkStart w:id="1" w:name="bookmark9"/>
      <w:r>
        <w:t xml:space="preserve">МЯСТО И СРОК НА ИЗПЪЛНЕНИЕ НА </w:t>
      </w:r>
      <w:bookmarkEnd w:id="1"/>
      <w:r>
        <w:t>ПРОЕКТОНОТО ПРЕДЛОЖЕНИЕ</w:t>
      </w:r>
    </w:p>
    <w:p w:rsidR="00524B49" w:rsidRDefault="00524B49" w:rsidP="00524B49">
      <w:pPr>
        <w:pStyle w:val="Bodytext20"/>
        <w:widowControl/>
        <w:shd w:val="clear" w:color="auto" w:fill="auto"/>
        <w:spacing w:line="240" w:lineRule="auto"/>
        <w:ind w:firstLine="760"/>
      </w:pPr>
      <w:r>
        <w:t>В Предложението си за изпълнение на ДЕЙНОСТИТЕ всеки участник трябва да посочи срок за доставка, считано от датата на влизане в сила на договора (датата на регистриране в деловодната система на Възложителя, която се поставя на всички екземпляри на договора) и не може да надвишава крайния срок.</w:t>
      </w:r>
      <w:bookmarkStart w:id="2" w:name="_Hlk160789042"/>
      <w:r w:rsidR="003F06F0">
        <w:t xml:space="preserve"> </w:t>
      </w:r>
      <w:r>
        <w:t xml:space="preserve">Монтаж и въвеждане в експлоатация на доставеното оборудване се осъществява след осигуряване на необходимия достъп от страна на Възложителя, </w:t>
      </w:r>
      <w:bookmarkStart w:id="3" w:name="_Hlk134022431"/>
      <w:r>
        <w:t>съобразно график, съгласуван между Възложителя и Изпълнителя</w:t>
      </w:r>
      <w:bookmarkEnd w:id="3"/>
      <w:r>
        <w:t>.</w:t>
      </w:r>
      <w:bookmarkStart w:id="4" w:name="_Hlk160789094"/>
      <w:bookmarkEnd w:id="2"/>
    </w:p>
    <w:p w:rsidR="00524B49" w:rsidRDefault="00524B49" w:rsidP="00524B49">
      <w:pPr>
        <w:pStyle w:val="Bodytext20"/>
        <w:widowControl/>
        <w:shd w:val="clear" w:color="auto" w:fill="auto"/>
        <w:spacing w:line="240" w:lineRule="auto"/>
        <w:ind w:firstLine="760"/>
      </w:pPr>
      <w:r>
        <w:t xml:space="preserve"> Мястото на изпълнение на договора е седалището на Възложителя.</w:t>
      </w:r>
      <w:bookmarkEnd w:id="4"/>
      <w:r>
        <w:t xml:space="preserve"> Изпълнението на дейностите по договора следва да е съобразено с условията на процедура BGRRP- 1.015 - "Училищна STEM среда".</w:t>
      </w:r>
    </w:p>
    <w:p w:rsidR="00524B49" w:rsidRDefault="00524B49" w:rsidP="00524B49">
      <w:pPr>
        <w:pStyle w:val="Bodytext20"/>
        <w:widowControl/>
        <w:shd w:val="clear" w:color="auto" w:fill="auto"/>
        <w:spacing w:line="240" w:lineRule="auto"/>
        <w:ind w:firstLine="760"/>
      </w:pPr>
    </w:p>
    <w:p w:rsidR="00524B49" w:rsidRDefault="00524B49" w:rsidP="00524B49">
      <w:pPr>
        <w:pStyle w:val="Heading20"/>
        <w:widowControl/>
        <w:shd w:val="clear" w:color="auto" w:fill="auto"/>
        <w:tabs>
          <w:tab w:val="left" w:pos="1186"/>
        </w:tabs>
        <w:spacing w:line="240" w:lineRule="auto"/>
        <w:contextualSpacing/>
      </w:pPr>
      <w:bookmarkStart w:id="5" w:name="bookmark10"/>
      <w:r>
        <w:t>ПЛАЩАНЕ</w:t>
      </w:r>
      <w:bookmarkEnd w:id="5"/>
    </w:p>
    <w:p w:rsidR="00524B49" w:rsidRDefault="00524B49" w:rsidP="00524B49">
      <w:pPr>
        <w:pStyle w:val="Bodytext20"/>
        <w:widowControl/>
        <w:shd w:val="clear" w:color="auto" w:fill="auto"/>
        <w:spacing w:line="240" w:lineRule="auto"/>
        <w:ind w:firstLine="760"/>
      </w:pPr>
      <w:r>
        <w:t xml:space="preserve">Начинът на плащане е посочен в проекта на договор за изпълнение на </w:t>
      </w:r>
      <w:r w:rsidR="00BF35EE">
        <w:t>дейностите</w:t>
      </w:r>
      <w:r>
        <w:t>.</w:t>
      </w:r>
    </w:p>
    <w:p w:rsidR="00524B49" w:rsidRDefault="00524B49" w:rsidP="00524B49"/>
    <w:p w:rsidR="00524B49" w:rsidRDefault="00524B49" w:rsidP="00524B49">
      <w:pPr>
        <w:pStyle w:val="Heading20"/>
        <w:widowControl/>
        <w:shd w:val="clear" w:color="auto" w:fill="auto"/>
        <w:spacing w:line="240" w:lineRule="auto"/>
        <w:ind w:firstLine="780"/>
        <w:jc w:val="center"/>
        <w:rPr>
          <w:u w:val="single"/>
        </w:rPr>
      </w:pPr>
      <w:bookmarkStart w:id="6" w:name="bookmark12"/>
      <w:r>
        <w:rPr>
          <w:u w:val="single"/>
        </w:rPr>
        <w:t xml:space="preserve">ЧАСТ II. УСЛОВИЯ И УКАЗАНИЯ ЗА УЧАСТИЕ В </w:t>
      </w:r>
      <w:bookmarkEnd w:id="6"/>
      <w:r>
        <w:rPr>
          <w:u w:val="single"/>
        </w:rPr>
        <w:t>ПРОЦЕДУРА ЗА ПРИЕМ НА ПРОЕКТНИ ПРЕДЛОЖЕНИЯ</w:t>
      </w:r>
    </w:p>
    <w:p w:rsidR="00524B49" w:rsidRDefault="00524B49" w:rsidP="00524B49">
      <w:pPr>
        <w:pStyle w:val="Heading20"/>
        <w:widowControl/>
        <w:shd w:val="clear" w:color="auto" w:fill="auto"/>
        <w:spacing w:line="240" w:lineRule="auto"/>
        <w:ind w:firstLine="780"/>
        <w:jc w:val="center"/>
      </w:pPr>
    </w:p>
    <w:p w:rsidR="00524B49" w:rsidRDefault="00524B49" w:rsidP="00524B49">
      <w:pPr>
        <w:pStyle w:val="Heading20"/>
        <w:widowControl/>
        <w:numPr>
          <w:ilvl w:val="0"/>
          <w:numId w:val="3"/>
        </w:numPr>
        <w:shd w:val="clear" w:color="auto" w:fill="auto"/>
        <w:spacing w:line="240" w:lineRule="auto"/>
        <w:contextualSpacing/>
      </w:pPr>
      <w:r>
        <w:t>ОБЩИ ИЗИСКВАНИЯ</w:t>
      </w:r>
    </w:p>
    <w:p w:rsidR="00524B49" w:rsidRDefault="00524B49" w:rsidP="00524B49">
      <w:pPr>
        <w:pStyle w:val="a6"/>
        <w:keepNext/>
        <w:widowControl w:val="0"/>
        <w:numPr>
          <w:ilvl w:val="1"/>
          <w:numId w:val="4"/>
        </w:numPr>
        <w:tabs>
          <w:tab w:val="left" w:pos="0"/>
          <w:tab w:val="left" w:pos="142"/>
          <w:tab w:val="right" w:leader="dot" w:pos="8290"/>
        </w:tabs>
        <w:jc w:val="both"/>
      </w:pPr>
      <w:r>
        <w:t xml:space="preserve">Във възлагането на ПРОЕКТНО ПРЕДЛОЖЕНИЕ могат да участват български или чуждестранни лица или техни обединения, както и всяко друго образувание, което има право да изпълнява дейностите, и което отговаря на условията, посочени в </w:t>
      </w:r>
      <w:r>
        <w:lastRenderedPageBreak/>
        <w:t>Закона за обществените поръчки (ЗОП), Правилника за прилагане на Закона за обществените поръчки (ППЗОП) и обявените изисквания на Възложителя.</w:t>
      </w:r>
    </w:p>
    <w:p w:rsidR="00524B49" w:rsidRDefault="00524B49" w:rsidP="00524B49">
      <w:pPr>
        <w:pStyle w:val="a6"/>
        <w:keepNext/>
        <w:widowControl w:val="0"/>
        <w:numPr>
          <w:ilvl w:val="1"/>
          <w:numId w:val="4"/>
        </w:numPr>
        <w:tabs>
          <w:tab w:val="left" w:pos="0"/>
          <w:tab w:val="left" w:pos="142"/>
          <w:tab w:val="right" w:leader="dot" w:pos="8290"/>
        </w:tabs>
        <w:jc w:val="both"/>
      </w:pPr>
      <w:r>
        <w:t>Лице, което участва в обединение или е дало съгласие и фигурира като подизпълнител в офертата на друг участник, не може да представя самостоятелна оферта.</w:t>
      </w:r>
    </w:p>
    <w:p w:rsidR="00524B49" w:rsidRDefault="00524B49" w:rsidP="00524B49">
      <w:pPr>
        <w:pStyle w:val="a6"/>
        <w:keepNext/>
        <w:widowControl w:val="0"/>
        <w:numPr>
          <w:ilvl w:val="1"/>
          <w:numId w:val="4"/>
        </w:numPr>
        <w:tabs>
          <w:tab w:val="left" w:pos="0"/>
          <w:tab w:val="left" w:pos="142"/>
          <w:tab w:val="right" w:leader="dot" w:pos="8290"/>
        </w:tabs>
        <w:jc w:val="both"/>
      </w:pPr>
      <w:r>
        <w:t>Едно физическо или юридическо лице може да участва само в едно обединение.</w:t>
      </w:r>
    </w:p>
    <w:p w:rsidR="00524B49" w:rsidRDefault="00524B49" w:rsidP="00524B49">
      <w:pPr>
        <w:pStyle w:val="a6"/>
        <w:keepNext/>
        <w:widowControl w:val="0"/>
        <w:numPr>
          <w:ilvl w:val="1"/>
          <w:numId w:val="4"/>
        </w:numPr>
        <w:tabs>
          <w:tab w:val="left" w:pos="0"/>
          <w:tab w:val="left" w:pos="142"/>
          <w:tab w:val="right" w:leader="dot" w:pos="8290"/>
        </w:tabs>
        <w:jc w:val="both"/>
      </w:pPr>
      <w:r>
        <w:t>Свързани лица по смисъла на параграф 2, т. 45 от допълнителните разпоредби на ЗОП не могат да бъдат самостоятелни участници във възлагането.</w:t>
      </w:r>
    </w:p>
    <w:p w:rsidR="00524B49" w:rsidRDefault="00524B49" w:rsidP="00524B49">
      <w:pPr>
        <w:pStyle w:val="a6"/>
        <w:keepNext/>
        <w:widowControl w:val="0"/>
        <w:numPr>
          <w:ilvl w:val="1"/>
          <w:numId w:val="4"/>
        </w:numPr>
        <w:tabs>
          <w:tab w:val="left" w:pos="0"/>
          <w:tab w:val="left" w:pos="142"/>
          <w:tab w:val="right" w:leader="dot" w:pos="8290"/>
        </w:tabs>
        <w:jc w:val="both"/>
      </w:pPr>
      <w:r>
        <w:t>Във възлагането могат да участват и обединения, които не са юридически лица.</w:t>
      </w:r>
    </w:p>
    <w:p w:rsidR="00524B49" w:rsidRDefault="00524B49" w:rsidP="00524B49">
      <w:pPr>
        <w:pStyle w:val="a6"/>
        <w:keepNext/>
        <w:widowControl w:val="0"/>
        <w:numPr>
          <w:ilvl w:val="1"/>
          <w:numId w:val="4"/>
        </w:numPr>
        <w:tabs>
          <w:tab w:val="left" w:pos="0"/>
          <w:tab w:val="left" w:pos="142"/>
          <w:tab w:val="right" w:leader="dot" w:pos="8290"/>
        </w:tabs>
        <w:jc w:val="both"/>
      </w:pPr>
      <w:r>
        <w:t xml:space="preserve">В случай че участникът е обединение/консорциум, което не е юридическо лице, се представя копие на документ за създаване на обединението, както и следната информация във връзка с конкретната обществена поръчка: а) правата и задълженията на участниците в обединението; б) разпределението на отговорността между членовете на обединението; в) дейностите, които ще изпълнява всеки член на обединението. В документа за създаване на обединение следва по безусловен начин да се удостовери, че участниците в обединението поемат солидарна отговорност за участието в обществената поръчка и за периода на изпълнение на договора. Всички членове на обединението/консорциума са задължени да останат в него за целия период на изпълнение на обществената поръчка. Участниците в обединението/консорциума трябва да определят партньор, който да представлява обединението за целите на обществената поръчка. Не се допускат промени в състава на обединението след крайният срок за подаване на офертите. Всички лица, включени в състава на обединението представят електронен Единен европейски документ за обществени поръчки (ЕЕДОП). </w:t>
      </w:r>
    </w:p>
    <w:p w:rsidR="00524B49" w:rsidRDefault="00524B49" w:rsidP="00524B49">
      <w:pPr>
        <w:pStyle w:val="a6"/>
        <w:keepNext/>
        <w:widowControl w:val="0"/>
        <w:numPr>
          <w:ilvl w:val="1"/>
          <w:numId w:val="4"/>
        </w:numPr>
        <w:tabs>
          <w:tab w:val="left" w:pos="0"/>
          <w:tab w:val="left" w:pos="142"/>
          <w:tab w:val="right" w:leader="dot" w:pos="8290"/>
        </w:tabs>
        <w:jc w:val="both"/>
      </w:pPr>
      <w:r>
        <w:t>Участниците могат да използват капацитета на трети лица, като докажат, че разполагат с техните ресурси. За целта се представя документ за поетите от третите лица задължения. Третите лица трябва да отговарят на критериите за подбор, за доказването на които участникът се позовава на тях и по отношение на тях да не са налице основанията за отстраняване от обществената поръчка. Когато участникът се позовава на капацитета на трети лица за доказване на съответствието с критериите за подбор, посочва това в Част ІІ, Раздел В и попълва  приложимите полета от Част ІV от електронен ЕЕДОП. Третите лица представят електронен ЕЕДОП.</w:t>
      </w:r>
    </w:p>
    <w:p w:rsidR="00524B49" w:rsidRDefault="00524B49" w:rsidP="00524B49">
      <w:pPr>
        <w:pStyle w:val="a6"/>
        <w:keepNext/>
        <w:widowControl w:val="0"/>
        <w:numPr>
          <w:ilvl w:val="1"/>
          <w:numId w:val="4"/>
        </w:numPr>
        <w:tabs>
          <w:tab w:val="left" w:pos="0"/>
          <w:tab w:val="left" w:pos="142"/>
          <w:tab w:val="right" w:leader="dot" w:pos="8290"/>
        </w:tabs>
        <w:jc w:val="both"/>
      </w:pPr>
      <w:r>
        <w:t>Подизпълнителите трябва да отговарят на критериите за подбор съобразно вида и дела от поръчката, който ще изпълняват и за тях да не са налице основанията за отстраняване от поръчката. Независимо от възможността за използване на подизпълнители, отговорността за изпълнение на договора за обществена поръчка е на изпълнителя. Възложителят изисква замяна на подизпълнител, който не отговаря на някой от критериите за подбор, съобразно вида и дела от поръчката, който ще изпълнява или за който са налице основанията за отстраняване от поръчката, поради промяна в обстоятелствата преди сключване на договора за обществена поръчка. Участникът посочва в Част ІІ, Раздел Г от ЕЕДОП</w:t>
      </w:r>
      <w:r w:rsidR="00D054B6">
        <w:t xml:space="preserve"> </w:t>
      </w:r>
      <w:r>
        <w:t xml:space="preserve">подизпълнителите и дела от поръчката, който ще им възложат, ако възнамеряват да използват такива. Подизпълнителите представят електронен ЕЕДОП. </w:t>
      </w:r>
    </w:p>
    <w:p w:rsidR="00524B49" w:rsidRDefault="00524B49" w:rsidP="00524B49">
      <w:pPr>
        <w:pStyle w:val="a6"/>
        <w:keepNext/>
        <w:widowControl w:val="0"/>
        <w:numPr>
          <w:ilvl w:val="1"/>
          <w:numId w:val="4"/>
        </w:numPr>
        <w:tabs>
          <w:tab w:val="left" w:pos="0"/>
          <w:tab w:val="left" w:pos="142"/>
          <w:tab w:val="right" w:leader="dot" w:pos="8290"/>
        </w:tabs>
        <w:jc w:val="both"/>
      </w:pPr>
      <w:r>
        <w:t xml:space="preserve">Участниците са длъжни да спазват стриктно всички срокове и условия, установени в обявата и приложенията към нея, както и тези, предвидени в настоящите указания в хода по осъществяване на обществената поръчка. Участниците са длъжни да представят всички изискуеми документи, предвидени в обявата и приложенията към нея. Участниците могат да участват в обществената поръчка чрез законните си представители или чрез изрично упълномощено лице. Когато документи, свързани </w:t>
      </w:r>
      <w:r>
        <w:lastRenderedPageBreak/>
        <w:t>с участието в обществената поръчка, се подават от лице, което представлява участника по пълномощие, в ЕЕДОП</w:t>
      </w:r>
      <w:r w:rsidR="00D054B6">
        <w:t xml:space="preserve"> </w:t>
      </w:r>
      <w:r>
        <w:t>се посочва информация относно представителната му власт.</w:t>
      </w:r>
      <w:bookmarkStart w:id="7" w:name="bookmark21"/>
    </w:p>
    <w:p w:rsidR="00524B49" w:rsidRDefault="00524B49" w:rsidP="00524B49">
      <w:pPr>
        <w:pStyle w:val="a6"/>
        <w:keepNext/>
        <w:tabs>
          <w:tab w:val="left" w:pos="0"/>
          <w:tab w:val="left" w:pos="142"/>
          <w:tab w:val="right" w:leader="dot" w:pos="8290"/>
        </w:tabs>
        <w:ind w:left="525"/>
        <w:jc w:val="both"/>
        <w:rPr>
          <w:b/>
        </w:rPr>
      </w:pPr>
    </w:p>
    <w:p w:rsidR="00524B49" w:rsidRDefault="00524B49" w:rsidP="00524B49">
      <w:pPr>
        <w:pStyle w:val="a6"/>
        <w:keepNext/>
        <w:widowControl w:val="0"/>
        <w:numPr>
          <w:ilvl w:val="0"/>
          <w:numId w:val="4"/>
        </w:numPr>
        <w:tabs>
          <w:tab w:val="left" w:pos="0"/>
          <w:tab w:val="left" w:pos="142"/>
          <w:tab w:val="right" w:leader="dot" w:pos="8290"/>
        </w:tabs>
        <w:jc w:val="both"/>
        <w:rPr>
          <w:b/>
        </w:rPr>
      </w:pPr>
      <w:r>
        <w:rPr>
          <w:b/>
        </w:rPr>
        <w:t>ОСНОВАНИЯ ЗА ОТСТРАНЯВАНЕ</w:t>
      </w:r>
      <w:bookmarkEnd w:id="7"/>
    </w:p>
    <w:p w:rsidR="00524B49" w:rsidRDefault="00524B49" w:rsidP="00524B49">
      <w:pPr>
        <w:pStyle w:val="a6"/>
        <w:keepNext/>
        <w:tabs>
          <w:tab w:val="left" w:pos="0"/>
          <w:tab w:val="left" w:pos="142"/>
          <w:tab w:val="right" w:leader="dot" w:pos="8290"/>
        </w:tabs>
        <w:ind w:left="525"/>
        <w:jc w:val="both"/>
      </w:pPr>
      <w:r>
        <w:t>Възложителят отстранява от участие във възлагането на обществената поръчка участник, за когото е налице някое от следните основания за отстраняване, посочени в чл. 54, ал. 1 от ЗОП, възникнали преди или по време на възлагането на обществената поръчка и когато в случаите по чл. 56, ал. 2 е преценил, че предприетите мерки не са достатъчни, за да се гарантира надеждността на участника, а именно:</w:t>
      </w:r>
    </w:p>
    <w:p w:rsidR="00524B49" w:rsidRDefault="00524B49" w:rsidP="00524B49">
      <w:pPr>
        <w:pStyle w:val="a6"/>
        <w:keepNext/>
        <w:widowControl w:val="0"/>
        <w:numPr>
          <w:ilvl w:val="1"/>
          <w:numId w:val="4"/>
        </w:numPr>
        <w:tabs>
          <w:tab w:val="left" w:pos="142"/>
          <w:tab w:val="left" w:pos="284"/>
          <w:tab w:val="left" w:pos="993"/>
          <w:tab w:val="left" w:pos="1440"/>
          <w:tab w:val="right" w:leader="dot" w:pos="8290"/>
        </w:tabs>
        <w:jc w:val="both"/>
      </w:pPr>
      <w:r>
        <w:t>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524B49" w:rsidRDefault="00524B49" w:rsidP="00524B49">
      <w:pPr>
        <w:pStyle w:val="a6"/>
        <w:keepNext/>
        <w:widowControl w:val="0"/>
        <w:numPr>
          <w:ilvl w:val="1"/>
          <w:numId w:val="4"/>
        </w:numPr>
        <w:tabs>
          <w:tab w:val="left" w:pos="142"/>
          <w:tab w:val="left" w:pos="284"/>
          <w:tab w:val="left" w:pos="993"/>
          <w:tab w:val="left" w:pos="1440"/>
          <w:tab w:val="right" w:leader="dot" w:pos="8290"/>
        </w:tabs>
        <w:jc w:val="both"/>
      </w:pPr>
      <w:r>
        <w:t xml:space="preserve">е осъден с влязла в сила присъда, за престъпление, аналогично на тези по т. 1, в друга държава членка или трета страна; </w:t>
      </w:r>
    </w:p>
    <w:p w:rsidR="00524B49" w:rsidRDefault="00524B49" w:rsidP="00524B49">
      <w:pPr>
        <w:pStyle w:val="a6"/>
        <w:keepNext/>
        <w:widowControl w:val="0"/>
        <w:numPr>
          <w:ilvl w:val="1"/>
          <w:numId w:val="4"/>
        </w:numPr>
        <w:tabs>
          <w:tab w:val="left" w:pos="142"/>
          <w:tab w:val="left" w:pos="284"/>
          <w:tab w:val="left" w:pos="993"/>
          <w:tab w:val="left" w:pos="1440"/>
          <w:tab w:val="right" w:leader="dot" w:pos="8290"/>
        </w:tabs>
        <w:jc w:val="both"/>
      </w:pPr>
      <w:r>
        <w:t>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участника, или аналогични задължения съгласно законодателството на държавата, в която участникът е установен, доказани с влязъл в сила акт на компетентен орган;</w:t>
      </w:r>
    </w:p>
    <w:p w:rsidR="00524B49" w:rsidRDefault="00524B49" w:rsidP="00524B49">
      <w:pPr>
        <w:pStyle w:val="a6"/>
        <w:keepNext/>
        <w:widowControl w:val="0"/>
        <w:numPr>
          <w:ilvl w:val="1"/>
          <w:numId w:val="4"/>
        </w:numPr>
        <w:tabs>
          <w:tab w:val="left" w:pos="142"/>
          <w:tab w:val="left" w:pos="284"/>
          <w:tab w:val="left" w:pos="993"/>
          <w:tab w:val="left" w:pos="1440"/>
          <w:tab w:val="right" w:leader="dot" w:pos="8290"/>
        </w:tabs>
        <w:jc w:val="both"/>
      </w:pPr>
      <w:r>
        <w:t xml:space="preserve"> е налице неравнопоставеност в случаите по чл. 44, ал. 5 от ЗОП; </w:t>
      </w:r>
    </w:p>
    <w:p w:rsidR="00524B49" w:rsidRDefault="00524B49" w:rsidP="00524B49">
      <w:pPr>
        <w:pStyle w:val="a6"/>
        <w:keepNext/>
        <w:widowControl w:val="0"/>
        <w:numPr>
          <w:ilvl w:val="1"/>
          <w:numId w:val="4"/>
        </w:numPr>
        <w:tabs>
          <w:tab w:val="left" w:pos="142"/>
          <w:tab w:val="left" w:pos="284"/>
          <w:tab w:val="left" w:pos="993"/>
          <w:tab w:val="left" w:pos="1440"/>
          <w:tab w:val="right" w:leader="dot" w:pos="8290"/>
        </w:tabs>
        <w:jc w:val="both"/>
      </w:pPr>
      <w:r>
        <w:t>е установено, че:</w:t>
      </w:r>
    </w:p>
    <w:p w:rsidR="00524B49" w:rsidRDefault="00524B49" w:rsidP="00524B49">
      <w:pPr>
        <w:pStyle w:val="a6"/>
        <w:ind w:left="525"/>
        <w:jc w:val="both"/>
      </w:pPr>
      <w:r>
        <w:t>а)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rsidR="00524B49" w:rsidRDefault="00524B49" w:rsidP="00524B49">
      <w:pPr>
        <w:pStyle w:val="a6"/>
        <w:ind w:left="525"/>
        <w:jc w:val="both"/>
      </w:pPr>
      <w:r>
        <w:t xml:space="preserve">б) не е предоставил изискваща се информация, свързана с удостоверяване липсата на основания за отстраняване или изпълнението на критериите за подбор; </w:t>
      </w:r>
    </w:p>
    <w:p w:rsidR="00524B49" w:rsidRDefault="00524B49" w:rsidP="00524B49">
      <w:pPr>
        <w:pStyle w:val="a6"/>
        <w:widowControl w:val="0"/>
        <w:numPr>
          <w:ilvl w:val="1"/>
          <w:numId w:val="4"/>
        </w:numPr>
        <w:jc w:val="both"/>
      </w:pPr>
      <w:r>
        <w:t>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участникът е установен;</w:t>
      </w:r>
    </w:p>
    <w:p w:rsidR="00524B49" w:rsidRDefault="00524B49" w:rsidP="00524B49">
      <w:pPr>
        <w:pStyle w:val="a6"/>
        <w:widowControl w:val="0"/>
        <w:numPr>
          <w:ilvl w:val="1"/>
          <w:numId w:val="4"/>
        </w:numPr>
        <w:jc w:val="both"/>
      </w:pPr>
      <w:r>
        <w:t>е налице конфликт на интереси, който не може да бъде отстранен.</w:t>
      </w:r>
    </w:p>
    <w:p w:rsidR="00524B49" w:rsidRDefault="00524B49" w:rsidP="00524B49">
      <w:pPr>
        <w:pStyle w:val="a6"/>
        <w:ind w:left="0"/>
        <w:jc w:val="both"/>
        <w:rPr>
          <w:b/>
          <w:bCs/>
          <w:color w:val="FF0000"/>
        </w:rPr>
      </w:pPr>
    </w:p>
    <w:p w:rsidR="00524B49" w:rsidRDefault="00524B49" w:rsidP="00524B49">
      <w:pPr>
        <w:pStyle w:val="a6"/>
        <w:ind w:left="0" w:firstLine="525"/>
        <w:jc w:val="both"/>
      </w:pPr>
      <w:r>
        <w:rPr>
          <w:bCs/>
        </w:rPr>
        <w:t xml:space="preserve">Участникът следва да декларира липсата на обстоятелства, свързани с националните основания за отстраняване в ЕЕДОП </w:t>
      </w:r>
      <w:r>
        <w:rPr>
          <w:rFonts w:eastAsia="Calibri"/>
        </w:rPr>
        <w:t xml:space="preserve">част III, раздел </w:t>
      </w:r>
      <w:r>
        <w:t>“</w:t>
      </w:r>
      <w:proofErr w:type="spellStart"/>
      <w:r>
        <w:rPr>
          <w:rFonts w:eastAsia="Calibri"/>
        </w:rPr>
        <w:t>Г</w:t>
      </w:r>
      <w:r>
        <w:t>”</w:t>
      </w:r>
      <w:r>
        <w:rPr>
          <w:bCs/>
        </w:rPr>
        <w:t>в</w:t>
      </w:r>
      <w:proofErr w:type="spellEnd"/>
      <w:r>
        <w:rPr>
          <w:bCs/>
        </w:rPr>
        <w:t xml:space="preserve"> полето „Прилагат ли се специфичните национални основания за изключване“. </w:t>
      </w:r>
      <w:r>
        <w:tab/>
      </w:r>
    </w:p>
    <w:p w:rsidR="00524B49" w:rsidRDefault="00524B49" w:rsidP="00524B49">
      <w:pPr>
        <w:pStyle w:val="a6"/>
        <w:ind w:left="0"/>
        <w:jc w:val="both"/>
        <w:rPr>
          <w:b/>
          <w:color w:val="FF0000"/>
        </w:rPr>
      </w:pPr>
    </w:p>
    <w:p w:rsidR="00524B49" w:rsidRDefault="00524B49" w:rsidP="00524B49">
      <w:pPr>
        <w:pStyle w:val="a6"/>
        <w:widowControl w:val="0"/>
        <w:numPr>
          <w:ilvl w:val="1"/>
          <w:numId w:val="4"/>
        </w:numPr>
        <w:jc w:val="both"/>
        <w:rPr>
          <w:color w:val="000000"/>
        </w:rPr>
      </w:pPr>
      <w:r>
        <w:t>Освен на основанията по чл. 54, ал. 1 о</w:t>
      </w:r>
      <w:r w:rsidR="00D054B6">
        <w:t xml:space="preserve">т ЗОП Възложителят отстранява проектното </w:t>
      </w:r>
      <w:r w:rsidR="003F06F0">
        <w:t>предложение</w:t>
      </w:r>
      <w:r w:rsidR="00D054B6">
        <w:t xml:space="preserve"> на</w:t>
      </w:r>
      <w:r>
        <w:t xml:space="preserve">: </w:t>
      </w:r>
    </w:p>
    <w:p w:rsidR="00524B49" w:rsidRDefault="00524B49" w:rsidP="00524B49">
      <w:pPr>
        <w:pStyle w:val="a6"/>
        <w:widowControl w:val="0"/>
        <w:numPr>
          <w:ilvl w:val="2"/>
          <w:numId w:val="4"/>
        </w:numPr>
        <w:ind w:left="1500"/>
        <w:jc w:val="both"/>
      </w:pPr>
      <w:r>
        <w:t xml:space="preserve">Участник, който не отговаря на поставените критерии за подбор или не изпълни друго условие, посочено в обявата или в документацията; </w:t>
      </w:r>
    </w:p>
    <w:p w:rsidR="00524B49" w:rsidRDefault="00524B49" w:rsidP="00524B49">
      <w:pPr>
        <w:pStyle w:val="a6"/>
        <w:widowControl w:val="0"/>
        <w:numPr>
          <w:ilvl w:val="2"/>
          <w:numId w:val="4"/>
        </w:numPr>
        <w:ind w:left="1500"/>
        <w:jc w:val="both"/>
      </w:pPr>
      <w:r>
        <w:t>Участник, който е представил оферта, която не отговаря на предварително обявените условия за изпълнение на поръчката; на правилата и изискванията,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w:t>
      </w:r>
    </w:p>
    <w:p w:rsidR="00524B49" w:rsidRDefault="00524B49" w:rsidP="00524B49">
      <w:pPr>
        <w:pStyle w:val="a6"/>
        <w:widowControl w:val="0"/>
        <w:numPr>
          <w:ilvl w:val="2"/>
          <w:numId w:val="4"/>
        </w:numPr>
        <w:ind w:left="1500"/>
        <w:jc w:val="both"/>
      </w:pPr>
      <w:r>
        <w:t xml:space="preserve">Участник, подал оферта, за която при оценяване на обосновката се </w:t>
      </w:r>
      <w:r>
        <w:lastRenderedPageBreak/>
        <w:t>установи, че е получена държавна помощ, за която участникът не може да докаже в предвидения срок, че е съвместима с вътрешния пазар по смисъла на чл. 107 от ДФЕС;</w:t>
      </w:r>
    </w:p>
    <w:p w:rsidR="00524B49" w:rsidRDefault="00524B49" w:rsidP="00524B49">
      <w:pPr>
        <w:pStyle w:val="a6"/>
        <w:widowControl w:val="0"/>
        <w:numPr>
          <w:ilvl w:val="2"/>
          <w:numId w:val="4"/>
        </w:numPr>
        <w:ind w:left="1500"/>
        <w:jc w:val="both"/>
      </w:pPr>
      <w:r>
        <w:t xml:space="preserve">Участник, подал оферта, която не отговаря на условията за представяне, включително за форма, начин, срок и валидност; </w:t>
      </w:r>
    </w:p>
    <w:p w:rsidR="00524B49" w:rsidRDefault="00524B49" w:rsidP="00524B49">
      <w:pPr>
        <w:pStyle w:val="a6"/>
        <w:widowControl w:val="0"/>
        <w:numPr>
          <w:ilvl w:val="2"/>
          <w:numId w:val="4"/>
        </w:numPr>
        <w:ind w:left="1500"/>
        <w:jc w:val="both"/>
      </w:pPr>
      <w:r>
        <w:t>Лице, което е нарушило забрана по чл. 101, ал. 9 или 10 от ЗОП;</w:t>
      </w:r>
    </w:p>
    <w:p w:rsidR="00524B49" w:rsidRDefault="00524B49" w:rsidP="00524B49">
      <w:pPr>
        <w:pStyle w:val="a6"/>
        <w:widowControl w:val="0"/>
        <w:numPr>
          <w:ilvl w:val="2"/>
          <w:numId w:val="4"/>
        </w:numPr>
        <w:ind w:left="1500"/>
        <w:jc w:val="both"/>
      </w:pPr>
      <w:r>
        <w:t>Участник, който не е декриптирал офертата си, в т. ч. съдържащото се в нея ценово предложение, в срока по чл. 9л, ал. 5 от ППЗОП;</w:t>
      </w:r>
    </w:p>
    <w:p w:rsidR="00524B49" w:rsidRDefault="00524B49" w:rsidP="00524B49">
      <w:pPr>
        <w:pStyle w:val="a6"/>
        <w:widowControl w:val="0"/>
        <w:numPr>
          <w:ilvl w:val="2"/>
          <w:numId w:val="4"/>
        </w:numPr>
        <w:ind w:left="1500"/>
        <w:jc w:val="both"/>
      </w:pPr>
      <w:r>
        <w:t>Участник, за който са налице обстоятелствата по чл. 87 от Закона за противодействие на корупцията;</w:t>
      </w:r>
    </w:p>
    <w:p w:rsidR="00524B49" w:rsidRDefault="00524B49" w:rsidP="00524B49">
      <w:pPr>
        <w:pStyle w:val="a6"/>
        <w:widowControl w:val="0"/>
        <w:numPr>
          <w:ilvl w:val="2"/>
          <w:numId w:val="4"/>
        </w:numPr>
        <w:ind w:left="1500"/>
        <w:jc w:val="both"/>
      </w:pPr>
      <w:r>
        <w:t xml:space="preserve"> Участник, който не отговоря на изискванията на 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524B49" w:rsidRDefault="00524B49" w:rsidP="00524B49">
      <w:pPr>
        <w:pStyle w:val="a6"/>
        <w:widowControl w:val="0"/>
        <w:numPr>
          <w:ilvl w:val="2"/>
          <w:numId w:val="4"/>
        </w:numPr>
        <w:ind w:left="1500"/>
        <w:jc w:val="both"/>
      </w:pPr>
      <w:r>
        <w:t>Участник, за който са налице обстоятелствата по чл. 5к от Регламент (EС) № 2022/576 на Съвета от 8 април 2022 г. за изменение на Регламент (ЕС) № 833/2014 г. относно ограничителните мерки с оглед на действията на Русия, дестабилизиращи положението в Украйна.</w:t>
      </w:r>
    </w:p>
    <w:p w:rsidR="00524B49" w:rsidRDefault="00524B49" w:rsidP="00524B49">
      <w:pPr>
        <w:pStyle w:val="a6"/>
        <w:widowControl w:val="0"/>
        <w:numPr>
          <w:ilvl w:val="2"/>
          <w:numId w:val="4"/>
        </w:numPr>
        <w:ind w:left="1500"/>
        <w:jc w:val="both"/>
      </w:pPr>
      <w:r>
        <w:t xml:space="preserve">Участник ,който не е представил при поискване от комисията мостра на техниката ,документи за спецификация на предложената от него техника или софтуер </w:t>
      </w:r>
    </w:p>
    <w:p w:rsidR="00524B49" w:rsidRDefault="00524B49" w:rsidP="00524B49">
      <w:pPr>
        <w:pStyle w:val="a6"/>
        <w:keepNext/>
        <w:tabs>
          <w:tab w:val="left" w:pos="0"/>
          <w:tab w:val="left" w:pos="142"/>
          <w:tab w:val="left" w:pos="709"/>
          <w:tab w:val="right" w:leader="dot" w:pos="8290"/>
        </w:tabs>
        <w:suppressAutoHyphens/>
        <w:ind w:left="525"/>
        <w:jc w:val="both"/>
      </w:pPr>
    </w:p>
    <w:p w:rsidR="00524B49" w:rsidRDefault="00524B49" w:rsidP="00524B49">
      <w:pPr>
        <w:pStyle w:val="a6"/>
        <w:widowControl w:val="0"/>
        <w:numPr>
          <w:ilvl w:val="0"/>
          <w:numId w:val="4"/>
        </w:numPr>
        <w:tabs>
          <w:tab w:val="left" w:pos="0"/>
          <w:tab w:val="left" w:pos="142"/>
          <w:tab w:val="left" w:pos="567"/>
          <w:tab w:val="right" w:leader="dot" w:pos="8290"/>
        </w:tabs>
        <w:jc w:val="both"/>
        <w:rPr>
          <w:b/>
        </w:rPr>
      </w:pPr>
      <w:r>
        <w:rPr>
          <w:b/>
        </w:rPr>
        <w:t>КРИТЕРИИ ЗА ПОДБОР</w:t>
      </w:r>
    </w:p>
    <w:p w:rsidR="00524B49" w:rsidRDefault="00524B49" w:rsidP="00524B49">
      <w:pPr>
        <w:pStyle w:val="a6"/>
        <w:numPr>
          <w:ilvl w:val="1"/>
          <w:numId w:val="4"/>
        </w:numPr>
        <w:spacing w:before="100" w:beforeAutospacing="1" w:after="100" w:afterAutospacing="1"/>
        <w:jc w:val="both"/>
      </w:pPr>
      <w:r>
        <w:t>Изисквания относно годността (правоспособността) за упражняване на професионална дейност: Възложителят не поставя изисквания, свързани с годността (правоспособността) за упражняване на професионална дейност.</w:t>
      </w:r>
    </w:p>
    <w:p w:rsidR="00524B49" w:rsidRDefault="00524B49" w:rsidP="00524B49">
      <w:pPr>
        <w:pStyle w:val="a6"/>
        <w:numPr>
          <w:ilvl w:val="1"/>
          <w:numId w:val="4"/>
        </w:numPr>
        <w:spacing w:before="100" w:beforeAutospacing="1" w:after="100" w:afterAutospacing="1"/>
        <w:jc w:val="both"/>
      </w:pPr>
      <w:r>
        <w:t xml:space="preserve">Критерии за подбор, свързани с икономическо и финансово състояние </w:t>
      </w:r>
    </w:p>
    <w:p w:rsidR="00524B49" w:rsidRDefault="00524B49" w:rsidP="00524B49">
      <w:pPr>
        <w:pStyle w:val="a6"/>
        <w:spacing w:after="100" w:afterAutospacing="1"/>
        <w:ind w:left="525"/>
        <w:jc w:val="both"/>
      </w:pPr>
      <w:r>
        <w:t xml:space="preserve">Участниците следва да са реализирали минимален оборот в сферата, попадаща в обхвата на поръчката, за последната година, считано от датата на подаване на офертата за участие. </w:t>
      </w:r>
    </w:p>
    <w:p w:rsidR="00524B49" w:rsidRDefault="00524B49" w:rsidP="00524B49">
      <w:pPr>
        <w:pStyle w:val="a6"/>
        <w:spacing w:after="100" w:afterAutospacing="1"/>
        <w:ind w:left="525"/>
        <w:jc w:val="both"/>
      </w:pPr>
      <w:r>
        <w:t xml:space="preserve">Минимални изисквания: Участникът следва да е реализирал минимален оборот в сферата, попадаща в обхвата на поръчката, за последната една година , в зависимост от датата, на която участникът е създаден или започнал дейността си, не по малък от прогнозната стойност на настоящата обществена поръчка. </w:t>
      </w:r>
    </w:p>
    <w:p w:rsidR="00524B49" w:rsidRDefault="00524B49" w:rsidP="00524B49">
      <w:pPr>
        <w:pStyle w:val="a6"/>
        <w:spacing w:after="100" w:afterAutospacing="1"/>
        <w:ind w:left="525"/>
        <w:jc w:val="both"/>
      </w:pPr>
      <w:r>
        <w:t xml:space="preserve">„Оборот в сферата, попадаща в обхвата на поръчката“ е сума, равна на частта от нетните приходи от продажби, реализирана от дейност, попадащи в обхвата на обществената поръчка, а именно: </w:t>
      </w:r>
      <w:bookmarkStart w:id="8" w:name="_Hlk160726845"/>
      <w:r>
        <w:t>доставка, монтаж и въвеждане в експлоатация на технологично оборудване за изграждане на иновативен център в учебно заведение</w:t>
      </w:r>
      <w:bookmarkEnd w:id="8"/>
      <w:r>
        <w:t xml:space="preserve">; </w:t>
      </w:r>
    </w:p>
    <w:p w:rsidR="00D054B6" w:rsidRDefault="00524B49" w:rsidP="00D054B6">
      <w:pPr>
        <w:pStyle w:val="a6"/>
        <w:spacing w:after="100" w:afterAutospacing="1"/>
        <w:ind w:left="525"/>
        <w:jc w:val="both"/>
      </w:pPr>
      <w:r>
        <w:t xml:space="preserve">При участие на обединения, които не са юридически лица, съответствието с изискванията към икономическото и финансовото състояние на участниците се доказва </w:t>
      </w:r>
      <w:r w:rsidR="00D054B6">
        <w:t>обединението</w:t>
      </w:r>
      <w:r>
        <w:t>-участник, а не от всяко от лицата, включени в него, съобразно разпределението на участието на лицата при изпълнение на дейностите, предвидено в договора за създаване на обединението. При участие на подизпълнители, изискванията се прилагат, съобразно вида и дела на тя</w:t>
      </w:r>
      <w:r w:rsidR="00D054B6">
        <w:t xml:space="preserve">хното участие. Деклариране: Обстоятелството се декларира в Част IV: „Критерии за подбор“, Раздел „Б“: „Икономическо и финансово състояние“ от ЕЕДОП. Доказване на посоченото изискване: </w:t>
      </w:r>
    </w:p>
    <w:p w:rsidR="00D054B6" w:rsidRDefault="00D054B6" w:rsidP="00D054B6">
      <w:pPr>
        <w:pStyle w:val="a6"/>
        <w:numPr>
          <w:ilvl w:val="1"/>
          <w:numId w:val="4"/>
        </w:numPr>
        <w:spacing w:before="100" w:beforeAutospacing="1" w:after="100" w:afterAutospacing="1"/>
        <w:jc w:val="both"/>
      </w:pPr>
      <w:r>
        <w:t xml:space="preserve">Участниците следва да представят информация за техническите и професионалните си способности, с която да докажат, че отговарят на изискванията на Възложителя, както следва: </w:t>
      </w:r>
    </w:p>
    <w:p w:rsidR="00D054B6" w:rsidRDefault="00D054B6" w:rsidP="00D054B6">
      <w:pPr>
        <w:pStyle w:val="a6"/>
        <w:numPr>
          <w:ilvl w:val="2"/>
          <w:numId w:val="4"/>
        </w:numPr>
        <w:spacing w:before="100" w:beforeAutospacing="1" w:after="100" w:afterAutospacing="1"/>
        <w:jc w:val="both"/>
      </w:pPr>
      <w:r>
        <w:lastRenderedPageBreak/>
        <w:t xml:space="preserve"> Участниците следва да са изпълнили дейности с предмет и обем, идентични или сходни с тези на поръчката, за последната една година, считано от датата на подаване на офертата за участие. </w:t>
      </w:r>
    </w:p>
    <w:p w:rsidR="00D054B6" w:rsidRDefault="00D054B6" w:rsidP="00D054B6">
      <w:pPr>
        <w:pStyle w:val="a6"/>
        <w:spacing w:before="100" w:beforeAutospacing="1" w:after="100" w:afterAutospacing="1"/>
        <w:jc w:val="both"/>
      </w:pPr>
      <w:r>
        <w:t xml:space="preserve">Възложителят не поставя изискване за обем. При подаване на оферта, информацията относно изискването се декларира в част IV „Критерии за подбор“, раздел В, „Технически и професионални способности“ в ЕЕДОП. </w:t>
      </w:r>
    </w:p>
    <w:p w:rsidR="00D054B6" w:rsidRDefault="00D054B6" w:rsidP="00D054B6">
      <w:pPr>
        <w:pStyle w:val="a6"/>
        <w:spacing w:before="100" w:beforeAutospacing="1" w:after="100" w:afterAutospacing="1"/>
        <w:jc w:val="both"/>
      </w:pPr>
      <w:r>
        <w:t>В случаите на чл. 67, ал. 5 и чл. 112, ал. 1, т. 2 от ЗОП съответствие с изискването се доказва със списък на доставките или услугите, които са идентични или сходни с предмета на обществената поръчка, с посочване на стойностите, датите и получателите, заедно с документи, които доказват извършената доставка или услуга.</w:t>
      </w:r>
    </w:p>
    <w:p w:rsidR="00D054B6" w:rsidRDefault="00D054B6" w:rsidP="00D054B6">
      <w:pPr>
        <w:pStyle w:val="a6"/>
        <w:numPr>
          <w:ilvl w:val="2"/>
          <w:numId w:val="4"/>
        </w:numPr>
        <w:spacing w:before="100" w:beforeAutospacing="1" w:after="100" w:afterAutospacing="1"/>
        <w:jc w:val="both"/>
      </w:pPr>
      <w:r>
        <w:t xml:space="preserve">Участниците следва да прилагат стандарти за управление на качеството: Система за управление на качеството БДС ЕN ISO 9001:xxxx или еквивалентен с обхват сходен с предмета на проектното предложение. </w:t>
      </w:r>
    </w:p>
    <w:p w:rsidR="00D054B6" w:rsidRDefault="00D054B6" w:rsidP="00D054B6">
      <w:pPr>
        <w:pStyle w:val="a6"/>
        <w:spacing w:before="100" w:beforeAutospacing="1" w:after="100" w:afterAutospacing="1"/>
        <w:jc w:val="both"/>
      </w:pPr>
      <w:r>
        <w:t xml:space="preserve">За сходен предмет на обществената поръчка се счита обхват в областта на: доставка и поддръжка на информационни технологични решения. </w:t>
      </w:r>
    </w:p>
    <w:p w:rsidR="00D054B6" w:rsidRDefault="00D054B6" w:rsidP="00D054B6">
      <w:pPr>
        <w:pStyle w:val="a6"/>
        <w:spacing w:before="100" w:beforeAutospacing="1" w:after="100" w:afterAutospacing="1"/>
        <w:jc w:val="both"/>
      </w:pPr>
      <w:r>
        <w:t xml:space="preserve">При подаване на оферта участниците декларират съответствието с минималното изискване, чрез посочване на стандарта, съгласно който прилагат внедрена и сертифицирана система за управление на качеството. Данните се представят чрез попълване на информацията в Част IV: „Критерии за подбор“, раздел „Г“– „Стандарти за осигуряване на качеството и стандарти за екологично управление“ от ЕЕДОП.  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p w:rsidR="00D054B6" w:rsidRDefault="00D054B6" w:rsidP="00D054B6">
      <w:pPr>
        <w:pStyle w:val="a6"/>
        <w:spacing w:before="100" w:beforeAutospacing="1" w:after="100" w:afterAutospacing="1"/>
        <w:jc w:val="both"/>
      </w:pPr>
      <w:r>
        <w:t xml:space="preserve">В случаите на чл. 67, ал. 5 и чл. 112, ал. 1, т. 2 от ЗОП съответствието с поставения критерий за подбор се доказва чрез: Копие на валиден сертификат за съответствие на системата за управление на качеството на участника със стандарта БДС EN ISO 9001:xxxx или еквивалентен. </w:t>
      </w:r>
    </w:p>
    <w:p w:rsidR="00D054B6" w:rsidRDefault="00D054B6" w:rsidP="00D054B6">
      <w:pPr>
        <w:pStyle w:val="a6"/>
        <w:numPr>
          <w:ilvl w:val="2"/>
          <w:numId w:val="4"/>
        </w:numPr>
        <w:spacing w:after="245"/>
        <w:ind w:right="29"/>
        <w:jc w:val="both"/>
        <w:rPr>
          <w:color w:val="000000"/>
          <w:lang w:eastAsia="en-US"/>
        </w:rPr>
      </w:pPr>
      <w:r>
        <w:rPr>
          <w:lang w:eastAsia="en-US"/>
        </w:rPr>
        <w:t xml:space="preserve"> Участникът следва да има внедрена система за прилагане на мерки за опазване на околната среда, съгласно стандарта БДС EN ISO 14001:xxxx или еквивалентен с обхват сходен с предмета на обществената поръчка. </w:t>
      </w:r>
    </w:p>
    <w:p w:rsidR="00D054B6" w:rsidRDefault="00D054B6" w:rsidP="00D054B6">
      <w:pPr>
        <w:pStyle w:val="a6"/>
        <w:spacing w:after="245"/>
        <w:ind w:right="29"/>
        <w:jc w:val="both"/>
        <w:rPr>
          <w:lang w:eastAsia="en-US"/>
        </w:rPr>
      </w:pPr>
      <w:r>
        <w:rPr>
          <w:lang w:eastAsia="en-US"/>
        </w:rPr>
        <w:t>За сходен предмет на обществената поръчка се счита обхват в областта на: доставка и поддръжка на информационни технологични решения.</w:t>
      </w:r>
    </w:p>
    <w:p w:rsidR="00D054B6" w:rsidRDefault="00D054B6" w:rsidP="00D054B6">
      <w:pPr>
        <w:pStyle w:val="a6"/>
        <w:spacing w:after="245"/>
        <w:ind w:right="29"/>
        <w:jc w:val="both"/>
      </w:pPr>
      <w:r>
        <w:t xml:space="preserve">При подаване на оферта участниците декларират съответствието с минималното изискване, чрез посочване на стандарта, съгласно който прилагат внедрена и сертифицирана система за опазване на околната среда. Данните се представят чрез попълване на информацията в Част IV: „Критерии за подбор“, раздел „Г“– „Стандарти за осигуряване на качеството и стандарти за екологично управление“ от ЕЕДОП.  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p>
    <w:p w:rsidR="00D054B6" w:rsidRDefault="00D054B6" w:rsidP="00D054B6">
      <w:pPr>
        <w:pStyle w:val="a6"/>
        <w:spacing w:after="245"/>
        <w:ind w:right="29"/>
        <w:jc w:val="both"/>
      </w:pPr>
      <w:r>
        <w:t xml:space="preserve">В случаите на чл. 67, ал. 5 и чл. 112, ал. 1, т. 2 от ЗОП съответствието с поставения критерий за подбор се доказва чрез: Копие на валиден сертификат за съответствие на система за прилагане на мерки за опазване на околната среда на участника със стандарта БДС EN ISO 14001: </w:t>
      </w:r>
      <w:proofErr w:type="spellStart"/>
      <w:r>
        <w:t>xxxx</w:t>
      </w:r>
      <w:proofErr w:type="spellEnd"/>
      <w:r>
        <w:t xml:space="preserve"> или еквивалент. </w:t>
      </w:r>
    </w:p>
    <w:p w:rsidR="00D054B6" w:rsidRDefault="00D054B6" w:rsidP="00D054B6">
      <w:pPr>
        <w:pStyle w:val="a6"/>
        <w:spacing w:after="245"/>
        <w:ind w:right="29"/>
        <w:jc w:val="both"/>
        <w:rPr>
          <w:color w:val="000000"/>
          <w:lang w:eastAsia="en-US"/>
        </w:rPr>
      </w:pPr>
      <w:r>
        <w:t xml:space="preserve">Сертификатите по т. 3.2 и т. 3.3 трябва да са издадени от независими лица, които са акредитирани по съответната серия европейски стандарти от Изпълнителна агенция „Българска служба за акредитация“ или от друг национален орган по акредитация, който е страна по Многостранното споразумение за взаимно признаване на Европейската организация за акредитация, за съответната област </w:t>
      </w:r>
      <w:r>
        <w:lastRenderedPageBreak/>
        <w:t xml:space="preserve">или да отговарят на изискванията за признаване съгласно чл. 5а, ал. 2 от Закона за националната акредитация на органи за оценяване на съответствието. </w:t>
      </w:r>
    </w:p>
    <w:p w:rsidR="00D054B6" w:rsidRDefault="00D054B6" w:rsidP="00A40B5D">
      <w:pPr>
        <w:pStyle w:val="Heading20"/>
        <w:widowControl/>
        <w:numPr>
          <w:ilvl w:val="1"/>
          <w:numId w:val="4"/>
        </w:numPr>
        <w:shd w:val="clear" w:color="auto" w:fill="auto"/>
        <w:tabs>
          <w:tab w:val="left" w:pos="1069"/>
        </w:tabs>
        <w:spacing w:line="240" w:lineRule="auto"/>
        <w:ind w:firstLine="780"/>
        <w:contextualSpacing/>
      </w:pPr>
      <w:r w:rsidRPr="002E1004">
        <w:rPr>
          <w:b w:val="0"/>
        </w:rPr>
        <w:t>Участниците трябва да се придържат точно към об</w:t>
      </w:r>
      <w:r w:rsidR="002E1004">
        <w:rPr>
          <w:b w:val="0"/>
        </w:rPr>
        <w:t>явените от Възложителя условия.</w:t>
      </w:r>
    </w:p>
    <w:p w:rsidR="002E1004" w:rsidRDefault="002E1004" w:rsidP="00D054B6">
      <w:pPr>
        <w:pStyle w:val="Bodytext30"/>
        <w:widowControl/>
        <w:shd w:val="clear" w:color="auto" w:fill="auto"/>
        <w:spacing w:line="240" w:lineRule="auto"/>
        <w:ind w:firstLine="780"/>
        <w:rPr>
          <w:u w:val="single"/>
        </w:rPr>
      </w:pPr>
    </w:p>
    <w:p w:rsidR="00D054B6" w:rsidRDefault="00D054B6" w:rsidP="00D054B6">
      <w:pPr>
        <w:pStyle w:val="Bodytext30"/>
        <w:widowControl/>
        <w:shd w:val="clear" w:color="auto" w:fill="auto"/>
        <w:spacing w:line="240" w:lineRule="auto"/>
        <w:ind w:firstLine="780"/>
        <w:rPr>
          <w:u w:val="single"/>
        </w:rPr>
      </w:pPr>
      <w:r>
        <w:rPr>
          <w:u w:val="single"/>
        </w:rPr>
        <w:t>ЧАСТ III. УКАЗАНИЯ ЗА ПОДГОТОВКА НА ОФЕРТИТЕ</w:t>
      </w:r>
    </w:p>
    <w:p w:rsidR="00D054B6" w:rsidRDefault="00D054B6" w:rsidP="00D054B6">
      <w:pPr>
        <w:pStyle w:val="Bodytext30"/>
        <w:widowControl/>
        <w:numPr>
          <w:ilvl w:val="0"/>
          <w:numId w:val="5"/>
        </w:numPr>
        <w:shd w:val="clear" w:color="auto" w:fill="auto"/>
        <w:tabs>
          <w:tab w:val="left" w:pos="1134"/>
        </w:tabs>
        <w:spacing w:line="240" w:lineRule="auto"/>
        <w:contextualSpacing/>
        <w:jc w:val="both"/>
      </w:pPr>
      <w:r>
        <w:t>ОБЩИ УКАЗАНИЯ</w:t>
      </w:r>
    </w:p>
    <w:p w:rsidR="00D054B6" w:rsidRDefault="00D054B6" w:rsidP="00D054B6">
      <w:pPr>
        <w:pStyle w:val="Heading20"/>
        <w:widowControl/>
        <w:numPr>
          <w:ilvl w:val="1"/>
          <w:numId w:val="5"/>
        </w:numPr>
        <w:shd w:val="clear" w:color="auto" w:fill="auto"/>
        <w:tabs>
          <w:tab w:val="left" w:pos="1069"/>
        </w:tabs>
        <w:spacing w:line="240" w:lineRule="auto"/>
        <w:contextualSpacing/>
      </w:pPr>
      <w:r>
        <w:rPr>
          <w:b w:val="0"/>
        </w:rPr>
        <w:t>С подаването на оферти се счита, че участниците се съгласяват с всички условия на Възложителя, в т.ч. с определения срок на валидност на офертите и с проекта на договор.</w:t>
      </w:r>
    </w:p>
    <w:p w:rsidR="00D054B6" w:rsidRDefault="00D054B6" w:rsidP="00D054B6">
      <w:pPr>
        <w:pStyle w:val="Heading20"/>
        <w:widowControl/>
        <w:shd w:val="clear" w:color="auto" w:fill="auto"/>
        <w:tabs>
          <w:tab w:val="left" w:pos="1069"/>
        </w:tabs>
        <w:spacing w:line="240" w:lineRule="auto"/>
        <w:ind w:left="525"/>
        <w:contextualSpacing/>
      </w:pPr>
      <w:r>
        <w:rPr>
          <w:b w:val="0"/>
        </w:rPr>
        <w:t xml:space="preserve">При подготвяне на офертата всеки участник трябва да се придържа точно към обявените от Възложителя условия. </w:t>
      </w:r>
    </w:p>
    <w:p w:rsidR="00D054B6" w:rsidRDefault="00D054B6" w:rsidP="00D054B6">
      <w:pPr>
        <w:pStyle w:val="Bodytext20"/>
        <w:widowControl/>
        <w:numPr>
          <w:ilvl w:val="1"/>
          <w:numId w:val="5"/>
        </w:numPr>
        <w:shd w:val="clear" w:color="auto" w:fill="auto"/>
        <w:spacing w:line="240" w:lineRule="auto"/>
        <w:contextualSpacing/>
      </w:pPr>
      <w:r>
        <w:t>Офертата се изготвя на български език и се подава през централизираната електронна платформа до изтичане на срока за подаване на оферти. Офертата се изготвя на български език и когато участник в поръчката е чуждестранно лице. В случай че се подават документи, които са на чужд език, същите се представят и в официален превод на български език.</w:t>
      </w:r>
    </w:p>
    <w:p w:rsidR="00D054B6" w:rsidRDefault="00D054B6" w:rsidP="00D054B6">
      <w:pPr>
        <w:pStyle w:val="Bodytext20"/>
        <w:widowControl/>
        <w:numPr>
          <w:ilvl w:val="1"/>
          <w:numId w:val="5"/>
        </w:numPr>
        <w:shd w:val="clear" w:color="auto" w:fill="auto"/>
        <w:spacing w:line="240" w:lineRule="auto"/>
        <w:contextualSpacing/>
      </w:pPr>
      <w:r>
        <w:t>Представените образци в документацията за обществената поръчка и условията, описани в тях, са задължителни за участниците.</w:t>
      </w:r>
      <w:r w:rsidR="002E1004">
        <w:t xml:space="preserve"> </w:t>
      </w:r>
      <w:r>
        <w:t>Офертите на участниците трябва да бъдат напълно съобразени с тези образци.</w:t>
      </w:r>
    </w:p>
    <w:p w:rsidR="00D054B6" w:rsidRDefault="00D054B6" w:rsidP="00D054B6">
      <w:pPr>
        <w:pStyle w:val="Bodytext20"/>
        <w:widowControl/>
        <w:numPr>
          <w:ilvl w:val="1"/>
          <w:numId w:val="5"/>
        </w:numPr>
        <w:shd w:val="clear" w:color="auto" w:fill="auto"/>
        <w:spacing w:line="240" w:lineRule="auto"/>
        <w:contextualSpacing/>
      </w:pPr>
      <w:r>
        <w:t>Офертата не може да се предлага във варианти.</w:t>
      </w:r>
    </w:p>
    <w:p w:rsidR="00D054B6" w:rsidRDefault="00D054B6" w:rsidP="00D054B6">
      <w:pPr>
        <w:pStyle w:val="Bodytext20"/>
        <w:widowControl/>
        <w:numPr>
          <w:ilvl w:val="1"/>
          <w:numId w:val="5"/>
        </w:numPr>
        <w:shd w:val="clear" w:color="auto" w:fill="auto"/>
        <w:spacing w:line="240" w:lineRule="auto"/>
        <w:contextualSpacing/>
      </w:pPr>
      <w:r>
        <w:t>Офертата се подписва от лицето, представляващо участника или от надлежно упълномощено лице или лица, като в ЕЕДОП се посочва информация относно обхвата на представителната власт на упълномощеното лице.</w:t>
      </w:r>
    </w:p>
    <w:p w:rsidR="00D054B6" w:rsidRDefault="00D054B6" w:rsidP="00D054B6">
      <w:pPr>
        <w:pStyle w:val="Bodytext20"/>
        <w:widowControl/>
        <w:shd w:val="clear" w:color="auto" w:fill="auto"/>
        <w:spacing w:line="240" w:lineRule="auto"/>
      </w:pPr>
      <w:bookmarkStart w:id="9" w:name="_GoBack"/>
      <w:bookmarkEnd w:id="9"/>
    </w:p>
    <w:p w:rsidR="00D054B6" w:rsidRDefault="00D054B6" w:rsidP="00D054B6">
      <w:pPr>
        <w:pStyle w:val="Heading20"/>
        <w:widowControl/>
        <w:numPr>
          <w:ilvl w:val="0"/>
          <w:numId w:val="5"/>
        </w:numPr>
        <w:shd w:val="clear" w:color="auto" w:fill="auto"/>
        <w:tabs>
          <w:tab w:val="left" w:pos="1078"/>
        </w:tabs>
        <w:spacing w:line="240" w:lineRule="auto"/>
        <w:contextualSpacing/>
      </w:pPr>
      <w:bookmarkStart w:id="10" w:name="bookmark34"/>
      <w:r>
        <w:t>СРОК НА ВАЛИДНОСТ НА ОФЕРТАТА</w:t>
      </w:r>
      <w:bookmarkEnd w:id="10"/>
    </w:p>
    <w:p w:rsidR="00D054B6" w:rsidRDefault="00D054B6" w:rsidP="00D054B6">
      <w:pPr>
        <w:pStyle w:val="Bodytext30"/>
        <w:widowControl/>
        <w:shd w:val="clear" w:color="auto" w:fill="auto"/>
        <w:tabs>
          <w:tab w:val="left" w:pos="1264"/>
        </w:tabs>
        <w:spacing w:line="240" w:lineRule="auto"/>
        <w:ind w:left="360"/>
        <w:contextualSpacing/>
        <w:jc w:val="both"/>
        <w:rPr>
          <w:b w:val="0"/>
        </w:rPr>
      </w:pPr>
      <w:r>
        <w:rPr>
          <w:b w:val="0"/>
        </w:rPr>
        <w:t xml:space="preserve">Срокът на валидност на офертите е посочен в Обявата за събиране на оферти и представлява времето, през което участниците са обвързани с условията на представените от тях оферти. 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w:t>
      </w:r>
    </w:p>
    <w:p w:rsidR="00D054B6" w:rsidRDefault="00D054B6" w:rsidP="00D054B6">
      <w:pPr>
        <w:pStyle w:val="Bodytext50"/>
        <w:widowControl/>
        <w:shd w:val="clear" w:color="auto" w:fill="auto"/>
        <w:spacing w:line="240" w:lineRule="auto"/>
        <w:ind w:firstLine="780"/>
        <w:rPr>
          <w:color w:val="FF0000"/>
        </w:rPr>
      </w:pPr>
    </w:p>
    <w:p w:rsidR="00D054B6" w:rsidRDefault="00D054B6" w:rsidP="00D054B6">
      <w:pPr>
        <w:pStyle w:val="Bodytext50"/>
        <w:widowControl/>
        <w:numPr>
          <w:ilvl w:val="0"/>
          <w:numId w:val="5"/>
        </w:numPr>
        <w:shd w:val="clear" w:color="auto" w:fill="auto"/>
        <w:spacing w:line="240" w:lineRule="auto"/>
        <w:contextualSpacing/>
        <w:rPr>
          <w:i w:val="0"/>
        </w:rPr>
      </w:pPr>
      <w:r>
        <w:rPr>
          <w:i w:val="0"/>
        </w:rPr>
        <w:t>РАБОТА НА КОМИСИЯТА</w:t>
      </w:r>
    </w:p>
    <w:p w:rsidR="00D054B6" w:rsidRDefault="00D054B6" w:rsidP="00D054B6">
      <w:pPr>
        <w:pStyle w:val="Bodytext20"/>
        <w:widowControl/>
        <w:numPr>
          <w:ilvl w:val="1"/>
          <w:numId w:val="5"/>
        </w:numPr>
        <w:shd w:val="clear" w:color="auto" w:fill="auto"/>
        <w:tabs>
          <w:tab w:val="left" w:pos="1201"/>
        </w:tabs>
        <w:spacing w:line="240" w:lineRule="auto"/>
        <w:contextualSpacing/>
      </w:pPr>
      <w:r>
        <w:t xml:space="preserve">Отварянето на офертите ще се извърши в </w:t>
      </w:r>
      <w:r w:rsidR="003F06F0">
        <w:t>ОУ „Свети свети Кирил и Методий“ с. Драгановец</w:t>
      </w:r>
      <w:r>
        <w:t xml:space="preserve"> на датата</w:t>
      </w:r>
      <w:r w:rsidR="003F06F0">
        <w:t xml:space="preserve">: </w:t>
      </w:r>
      <w:r w:rsidR="002E1004">
        <w:t>24.03.2025 г.</w:t>
      </w:r>
      <w:r w:rsidR="003F06F0">
        <w:t xml:space="preserve"> от 15 часа и място: Дирекцията на ОУ с. Драгановец</w:t>
      </w:r>
      <w:r>
        <w:t xml:space="preserve"> </w:t>
      </w:r>
    </w:p>
    <w:p w:rsidR="00D054B6" w:rsidRDefault="00D054B6" w:rsidP="00D054B6">
      <w:pPr>
        <w:pStyle w:val="Bodytext20"/>
        <w:widowControl/>
        <w:numPr>
          <w:ilvl w:val="1"/>
          <w:numId w:val="5"/>
        </w:numPr>
        <w:shd w:val="clear" w:color="auto" w:fill="auto"/>
        <w:tabs>
          <w:tab w:val="left" w:pos="1202"/>
        </w:tabs>
        <w:spacing w:line="240" w:lineRule="auto"/>
        <w:contextualSpacing/>
      </w:pPr>
      <w:r>
        <w:t>Комисията за разглеждане и оценка на офертите се назначава и извършва действия по реда и при условията на чл. 97 и сл. от ППЗОП.</w:t>
      </w:r>
    </w:p>
    <w:p w:rsidR="00D054B6" w:rsidRDefault="00D054B6" w:rsidP="00D054B6">
      <w:pPr>
        <w:pStyle w:val="Bodytext20"/>
        <w:widowControl/>
        <w:numPr>
          <w:ilvl w:val="1"/>
          <w:numId w:val="5"/>
        </w:numPr>
        <w:shd w:val="clear" w:color="auto" w:fill="auto"/>
        <w:tabs>
          <w:tab w:val="left" w:pos="1202"/>
        </w:tabs>
        <w:spacing w:line="240" w:lineRule="auto"/>
        <w:contextualSpacing/>
      </w:pPr>
      <w:r>
        <w:t xml:space="preserve">Комисията оценява участниците по следните критерии </w:t>
      </w:r>
    </w:p>
    <w:p w:rsidR="00D054B6" w:rsidRDefault="00D054B6" w:rsidP="00D054B6">
      <w:pPr>
        <w:ind w:firstLine="567"/>
        <w:jc w:val="both"/>
        <w:rPr>
          <w:b/>
        </w:rPr>
      </w:pPr>
      <w:proofErr w:type="gramStart"/>
      <w:r>
        <w:rPr>
          <w:lang w:val="en-US"/>
        </w:rPr>
        <w:t>1</w:t>
      </w:r>
      <w:proofErr w:type="gramEnd"/>
      <w:r>
        <w:rPr>
          <w:lang w:val="en-US"/>
        </w:rPr>
        <w:t xml:space="preserve"> </w:t>
      </w:r>
      <w:r>
        <w:t>Н</w:t>
      </w:r>
      <w:r>
        <w:rPr>
          <w:b/>
        </w:rPr>
        <w:t xml:space="preserve">ай-ниска цена от 1 до 22 точки  </w:t>
      </w:r>
    </w:p>
    <w:p w:rsidR="00D054B6" w:rsidRDefault="00D054B6" w:rsidP="00D054B6">
      <w:pPr>
        <w:ind w:firstLine="567"/>
        <w:jc w:val="both"/>
        <w:rPr>
          <w:b/>
        </w:rPr>
      </w:pPr>
      <w:r>
        <w:rPr>
          <w:b/>
        </w:rPr>
        <w:t xml:space="preserve">2. Срок за изпълнение на </w:t>
      </w:r>
      <w:r w:rsidR="002E1004">
        <w:rPr>
          <w:b/>
        </w:rPr>
        <w:t>обявените дейности от 1</w:t>
      </w:r>
      <w:r>
        <w:rPr>
          <w:b/>
        </w:rPr>
        <w:t xml:space="preserve"> до 10 точки , </w:t>
      </w:r>
    </w:p>
    <w:p w:rsidR="00D054B6" w:rsidRDefault="00D054B6" w:rsidP="00D054B6">
      <w:pPr>
        <w:ind w:firstLine="567"/>
        <w:jc w:val="both"/>
        <w:rPr>
          <w:b/>
        </w:rPr>
      </w:pPr>
      <w:r>
        <w:rPr>
          <w:b/>
        </w:rPr>
        <w:t xml:space="preserve">3. Гаранционен срок от 1 до 10 точки  </w:t>
      </w:r>
    </w:p>
    <w:p w:rsidR="00D054B6" w:rsidRDefault="00D054B6" w:rsidP="00D054B6">
      <w:pPr>
        <w:pStyle w:val="a6"/>
        <w:widowControl w:val="0"/>
        <w:numPr>
          <w:ilvl w:val="0"/>
          <w:numId w:val="6"/>
        </w:numPr>
        <w:jc w:val="both"/>
        <w:rPr>
          <w:b/>
        </w:rPr>
      </w:pPr>
      <w:r>
        <w:rPr>
          <w:b/>
          <w:shd w:val="clear" w:color="auto" w:fill="FFFFFF"/>
        </w:rPr>
        <w:t xml:space="preserve"> Разходи за целия жизнен цикъл</w:t>
      </w:r>
      <w:r>
        <w:rPr>
          <w:b/>
        </w:rPr>
        <w:t xml:space="preserve"> 1 до 10 точки </w:t>
      </w:r>
    </w:p>
    <w:p w:rsidR="00D054B6" w:rsidRDefault="00D054B6" w:rsidP="00D054B6">
      <w:pPr>
        <w:pStyle w:val="a6"/>
        <w:widowControl w:val="0"/>
        <w:numPr>
          <w:ilvl w:val="0"/>
          <w:numId w:val="7"/>
        </w:numPr>
        <w:jc w:val="both"/>
        <w:rPr>
          <w:b/>
        </w:rPr>
      </w:pPr>
      <w:r>
        <w:rPr>
          <w:b/>
        </w:rPr>
        <w:t xml:space="preserve">Срок за реакция при сигнал за повреда 1 до 10 точки </w:t>
      </w:r>
    </w:p>
    <w:p w:rsidR="00D054B6" w:rsidRDefault="00D054B6" w:rsidP="00D054B6">
      <w:pPr>
        <w:pStyle w:val="Bodytext20"/>
        <w:widowControl/>
        <w:shd w:val="clear" w:color="auto" w:fill="auto"/>
        <w:tabs>
          <w:tab w:val="left" w:pos="1202"/>
        </w:tabs>
        <w:spacing w:line="240" w:lineRule="auto"/>
        <w:rPr>
          <w:b/>
          <w:color w:val="auto"/>
        </w:rPr>
      </w:pPr>
      <w:r>
        <w:rPr>
          <w:b/>
          <w:color w:val="auto"/>
        </w:rPr>
        <w:t xml:space="preserve">         6.  Професионален опит на кандидата 1 до 10 точки </w:t>
      </w:r>
    </w:p>
    <w:p w:rsidR="00D054B6" w:rsidRDefault="00D054B6" w:rsidP="00D054B6">
      <w:pPr>
        <w:pStyle w:val="Bodytext20"/>
        <w:widowControl/>
        <w:shd w:val="clear" w:color="auto" w:fill="auto"/>
        <w:tabs>
          <w:tab w:val="left" w:pos="1202"/>
        </w:tabs>
        <w:spacing w:line="240" w:lineRule="auto"/>
        <w:rPr>
          <w:b/>
          <w:color w:val="auto"/>
        </w:rPr>
      </w:pPr>
      <w:r>
        <w:rPr>
          <w:b/>
          <w:color w:val="auto"/>
        </w:rPr>
        <w:t xml:space="preserve">         7. Технически данни за предложената техника, включващо </w:t>
      </w:r>
      <w:r>
        <w:rPr>
          <w:b/>
          <w:color w:val="auto"/>
          <w:lang w:bidi="ar-SA"/>
        </w:rPr>
        <w:t xml:space="preserve">технически параметри, естетически и функционални характеристики, достъпност, предназначение за всички потребители, социални, екологични и иновативни характеристики и иновативни търговски техники и условия  от 1 до </w:t>
      </w:r>
      <w:r>
        <w:rPr>
          <w:b/>
          <w:color w:val="auto"/>
        </w:rPr>
        <w:t xml:space="preserve">22 точки </w:t>
      </w:r>
    </w:p>
    <w:p w:rsidR="00D054B6" w:rsidRDefault="00D054B6" w:rsidP="00D054B6">
      <w:pPr>
        <w:shd w:val="clear" w:color="auto" w:fill="FFFFFF"/>
        <w:rPr>
          <w:b/>
        </w:rPr>
      </w:pPr>
      <w:r>
        <w:rPr>
          <w:b/>
        </w:rPr>
        <w:lastRenderedPageBreak/>
        <w:t xml:space="preserve">         8. Годността (правоспособността) за упражняване на професионална </w:t>
      </w:r>
      <w:r w:rsidR="002E1004">
        <w:rPr>
          <w:b/>
        </w:rPr>
        <w:t xml:space="preserve">дейност : от </w:t>
      </w:r>
      <w:r>
        <w:rPr>
          <w:b/>
        </w:rPr>
        <w:t xml:space="preserve"> 1 до  3 точки</w:t>
      </w:r>
    </w:p>
    <w:p w:rsidR="00D054B6" w:rsidRDefault="00D054B6" w:rsidP="00D054B6">
      <w:pPr>
        <w:shd w:val="clear" w:color="auto" w:fill="FFFFFF"/>
        <w:ind w:firstLine="720"/>
        <w:rPr>
          <w:b/>
        </w:rPr>
      </w:pPr>
      <w:r>
        <w:rPr>
          <w:b/>
        </w:rPr>
        <w:t xml:space="preserve"> 9. Икономическото и финансовото състояние; от 1 до 3 точки </w:t>
      </w:r>
    </w:p>
    <w:p w:rsidR="00D054B6" w:rsidRDefault="00D054B6" w:rsidP="00D054B6">
      <w:pPr>
        <w:shd w:val="clear" w:color="auto" w:fill="FFFFFF"/>
        <w:ind w:firstLine="720"/>
        <w:jc w:val="both"/>
      </w:pPr>
      <w:r>
        <w:t>Оценяването се извършва по отделно, по всеки един от показателите ,след подреждане на участниците по възходяща линия на направеното предложение , по съответния показател, като точките се разпределят пропорционално на тази поредност .</w:t>
      </w:r>
    </w:p>
    <w:p w:rsidR="00D054B6" w:rsidRDefault="00D054B6" w:rsidP="00D054B6">
      <w:pPr>
        <w:shd w:val="clear" w:color="auto" w:fill="FFFFFF"/>
        <w:ind w:firstLine="720"/>
      </w:pPr>
      <w:r>
        <w:t xml:space="preserve">Печели този участник ,който събере най- голям брой точки.  </w:t>
      </w:r>
    </w:p>
    <w:p w:rsidR="00D054B6" w:rsidRDefault="00D054B6" w:rsidP="00D054B6">
      <w:pPr>
        <w:shd w:val="clear" w:color="auto" w:fill="FFFFFF"/>
        <w:ind w:firstLine="720"/>
        <w:rPr>
          <w:color w:val="FF0000"/>
        </w:rPr>
      </w:pPr>
    </w:p>
    <w:p w:rsidR="00524B49" w:rsidRPr="00935D7B" w:rsidRDefault="00524B49" w:rsidP="00524B49">
      <w:pPr>
        <w:pStyle w:val="Default"/>
        <w:jc w:val="both"/>
      </w:pPr>
    </w:p>
    <w:p w:rsidR="008806C9" w:rsidRPr="00447C4C" w:rsidRDefault="008806C9" w:rsidP="008806C9">
      <w:pPr>
        <w:pStyle w:val="Default"/>
      </w:pPr>
    </w:p>
    <w:p w:rsidR="003B4E47" w:rsidRDefault="003B4E47" w:rsidP="003B4E47">
      <w:pPr>
        <w:jc w:val="both"/>
      </w:pPr>
    </w:p>
    <w:p w:rsidR="003B4E47" w:rsidRDefault="003B4E47" w:rsidP="003B4E47">
      <w:pPr>
        <w:jc w:val="both"/>
      </w:pPr>
    </w:p>
    <w:p w:rsidR="003B4E47" w:rsidRDefault="003B4E47" w:rsidP="003B4E47">
      <w:pPr>
        <w:jc w:val="both"/>
      </w:pPr>
    </w:p>
    <w:p w:rsidR="003B4E47" w:rsidRDefault="003B4E47" w:rsidP="003B4E47">
      <w:pPr>
        <w:jc w:val="both"/>
      </w:pPr>
    </w:p>
    <w:p w:rsidR="00FF72B8" w:rsidRPr="00BD081E" w:rsidRDefault="00FF72B8" w:rsidP="00FF72B8">
      <w:pPr>
        <w:ind w:left="5664" w:hanging="4956"/>
        <w:jc w:val="both"/>
        <w:rPr>
          <w:lang w:val="en-US"/>
        </w:rPr>
      </w:pPr>
      <w:r>
        <w:tab/>
      </w:r>
      <w:r>
        <w:tab/>
      </w:r>
      <w:r>
        <w:tab/>
      </w:r>
    </w:p>
    <w:sectPr w:rsidR="00FF72B8" w:rsidRPr="00BD081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56891"/>
    <w:multiLevelType w:val="hybridMultilevel"/>
    <w:tmpl w:val="07CCA232"/>
    <w:lvl w:ilvl="0" w:tplc="0402000F">
      <w:start w:val="1"/>
      <w:numFmt w:val="decimal"/>
      <w:lvlText w:val="%1."/>
      <w:lvlJc w:val="left"/>
      <w:pPr>
        <w:ind w:left="360" w:hanging="360"/>
      </w:pPr>
    </w:lvl>
    <w:lvl w:ilvl="1" w:tplc="04020019">
      <w:start w:val="1"/>
      <w:numFmt w:val="lowerLetter"/>
      <w:lvlText w:val="%2."/>
      <w:lvlJc w:val="left"/>
      <w:pPr>
        <w:ind w:left="1080" w:hanging="360"/>
      </w:pPr>
    </w:lvl>
    <w:lvl w:ilvl="2" w:tplc="0402001B">
      <w:start w:val="1"/>
      <w:numFmt w:val="lowerRoman"/>
      <w:lvlText w:val="%3."/>
      <w:lvlJc w:val="right"/>
      <w:pPr>
        <w:ind w:left="1800" w:hanging="180"/>
      </w:pPr>
    </w:lvl>
    <w:lvl w:ilvl="3" w:tplc="0402000F">
      <w:start w:val="1"/>
      <w:numFmt w:val="decimal"/>
      <w:lvlText w:val="%4."/>
      <w:lvlJc w:val="left"/>
      <w:pPr>
        <w:ind w:left="2520" w:hanging="360"/>
      </w:pPr>
    </w:lvl>
    <w:lvl w:ilvl="4" w:tplc="04020019">
      <w:start w:val="1"/>
      <w:numFmt w:val="lowerLetter"/>
      <w:lvlText w:val="%5."/>
      <w:lvlJc w:val="left"/>
      <w:pPr>
        <w:ind w:left="3240" w:hanging="360"/>
      </w:pPr>
    </w:lvl>
    <w:lvl w:ilvl="5" w:tplc="0402001B">
      <w:start w:val="1"/>
      <w:numFmt w:val="lowerRoman"/>
      <w:lvlText w:val="%6."/>
      <w:lvlJc w:val="right"/>
      <w:pPr>
        <w:ind w:left="3960" w:hanging="180"/>
      </w:pPr>
    </w:lvl>
    <w:lvl w:ilvl="6" w:tplc="0402000F">
      <w:start w:val="1"/>
      <w:numFmt w:val="decimal"/>
      <w:lvlText w:val="%7."/>
      <w:lvlJc w:val="left"/>
      <w:pPr>
        <w:ind w:left="4680" w:hanging="360"/>
      </w:pPr>
    </w:lvl>
    <w:lvl w:ilvl="7" w:tplc="04020019">
      <w:start w:val="1"/>
      <w:numFmt w:val="lowerLetter"/>
      <w:lvlText w:val="%8."/>
      <w:lvlJc w:val="left"/>
      <w:pPr>
        <w:ind w:left="5400" w:hanging="360"/>
      </w:pPr>
    </w:lvl>
    <w:lvl w:ilvl="8" w:tplc="0402001B">
      <w:start w:val="1"/>
      <w:numFmt w:val="lowerRoman"/>
      <w:lvlText w:val="%9."/>
      <w:lvlJc w:val="right"/>
      <w:pPr>
        <w:ind w:left="6120" w:hanging="180"/>
      </w:pPr>
    </w:lvl>
  </w:abstractNum>
  <w:abstractNum w:abstractNumId="1" w15:restartNumberingAfterBreak="0">
    <w:nsid w:val="0ADA0D52"/>
    <w:multiLevelType w:val="hybridMultilevel"/>
    <w:tmpl w:val="C5A4CB5E"/>
    <w:lvl w:ilvl="0" w:tplc="6B3EBBDE">
      <w:start w:val="4"/>
      <w:numFmt w:val="decimal"/>
      <w:lvlText w:val="%1"/>
      <w:lvlJc w:val="left"/>
      <w:pPr>
        <w:ind w:left="786" w:hanging="360"/>
      </w:pPr>
    </w:lvl>
    <w:lvl w:ilvl="1" w:tplc="04020019">
      <w:start w:val="1"/>
      <w:numFmt w:val="lowerLetter"/>
      <w:lvlText w:val="%2."/>
      <w:lvlJc w:val="left"/>
      <w:pPr>
        <w:ind w:left="1506" w:hanging="360"/>
      </w:pPr>
    </w:lvl>
    <w:lvl w:ilvl="2" w:tplc="0402001B">
      <w:start w:val="1"/>
      <w:numFmt w:val="lowerRoman"/>
      <w:lvlText w:val="%3."/>
      <w:lvlJc w:val="right"/>
      <w:pPr>
        <w:ind w:left="2226" w:hanging="180"/>
      </w:pPr>
    </w:lvl>
    <w:lvl w:ilvl="3" w:tplc="0402000F">
      <w:start w:val="1"/>
      <w:numFmt w:val="decimal"/>
      <w:lvlText w:val="%4."/>
      <w:lvlJc w:val="left"/>
      <w:pPr>
        <w:ind w:left="2946" w:hanging="360"/>
      </w:pPr>
    </w:lvl>
    <w:lvl w:ilvl="4" w:tplc="04020019">
      <w:start w:val="1"/>
      <w:numFmt w:val="lowerLetter"/>
      <w:lvlText w:val="%5."/>
      <w:lvlJc w:val="left"/>
      <w:pPr>
        <w:ind w:left="3666" w:hanging="360"/>
      </w:pPr>
    </w:lvl>
    <w:lvl w:ilvl="5" w:tplc="0402001B">
      <w:start w:val="1"/>
      <w:numFmt w:val="lowerRoman"/>
      <w:lvlText w:val="%6."/>
      <w:lvlJc w:val="right"/>
      <w:pPr>
        <w:ind w:left="4386" w:hanging="180"/>
      </w:pPr>
    </w:lvl>
    <w:lvl w:ilvl="6" w:tplc="0402000F">
      <w:start w:val="1"/>
      <w:numFmt w:val="decimal"/>
      <w:lvlText w:val="%7."/>
      <w:lvlJc w:val="left"/>
      <w:pPr>
        <w:ind w:left="5106" w:hanging="360"/>
      </w:pPr>
    </w:lvl>
    <w:lvl w:ilvl="7" w:tplc="04020019">
      <w:start w:val="1"/>
      <w:numFmt w:val="lowerLetter"/>
      <w:lvlText w:val="%8."/>
      <w:lvlJc w:val="left"/>
      <w:pPr>
        <w:ind w:left="5826" w:hanging="360"/>
      </w:pPr>
    </w:lvl>
    <w:lvl w:ilvl="8" w:tplc="0402001B">
      <w:start w:val="1"/>
      <w:numFmt w:val="lowerRoman"/>
      <w:lvlText w:val="%9."/>
      <w:lvlJc w:val="right"/>
      <w:pPr>
        <w:ind w:left="6546" w:hanging="180"/>
      </w:pPr>
    </w:lvl>
  </w:abstractNum>
  <w:abstractNum w:abstractNumId="2" w15:restartNumberingAfterBreak="0">
    <w:nsid w:val="21296B23"/>
    <w:multiLevelType w:val="multilevel"/>
    <w:tmpl w:val="F32A140A"/>
    <w:lvl w:ilvl="0">
      <w:start w:val="1"/>
      <w:numFmt w:val="decimal"/>
      <w:lvlText w:val="%1."/>
      <w:lvlJc w:val="left"/>
      <w:pPr>
        <w:ind w:left="360" w:hanging="360"/>
      </w:pPr>
      <w:rPr>
        <w:b/>
        <w:strike w:val="0"/>
        <w:dstrike w:val="0"/>
        <w:u w:val="none"/>
        <w:effect w:val="none"/>
      </w:rPr>
    </w:lvl>
    <w:lvl w:ilvl="1">
      <w:start w:val="1"/>
      <w:numFmt w:val="decimal"/>
      <w:isLgl/>
      <w:lvlText w:val="%1.%2."/>
      <w:lvlJc w:val="left"/>
      <w:pPr>
        <w:ind w:left="525" w:hanging="525"/>
      </w:pPr>
      <w:rPr>
        <w:rFonts w:ascii="Times New Roman" w:hAnsi="Times New Roman" w:cs="Times New Roman" w:hint="default"/>
        <w:b w:val="0"/>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3" w15:restartNumberingAfterBreak="0">
    <w:nsid w:val="276F7F27"/>
    <w:multiLevelType w:val="hybridMultilevel"/>
    <w:tmpl w:val="BBC61C92"/>
    <w:lvl w:ilvl="0" w:tplc="676C209C">
      <w:start w:val="7"/>
      <w:numFmt w:val="decimal"/>
      <w:lvlText w:val="%1."/>
      <w:lvlJc w:val="left"/>
      <w:pPr>
        <w:ind w:left="1211" w:hanging="360"/>
      </w:pPr>
      <w:rPr>
        <w:b/>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4" w15:restartNumberingAfterBreak="0">
    <w:nsid w:val="32941643"/>
    <w:multiLevelType w:val="hybridMultilevel"/>
    <w:tmpl w:val="2C1ED20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6551698"/>
    <w:multiLevelType w:val="multilevel"/>
    <w:tmpl w:val="85CC4A78"/>
    <w:lvl w:ilvl="0">
      <w:start w:val="1"/>
      <w:numFmt w:val="decimal"/>
      <w:lvlText w:val="%1."/>
      <w:lvlJc w:val="left"/>
      <w:pPr>
        <w:ind w:left="360" w:hanging="360"/>
      </w:pPr>
      <w:rPr>
        <w:b/>
        <w:strike w:val="0"/>
        <w:dstrike w:val="0"/>
        <w:u w:val="none"/>
        <w:effect w:val="none"/>
      </w:rPr>
    </w:lvl>
    <w:lvl w:ilvl="1">
      <w:start w:val="1"/>
      <w:numFmt w:val="decimal"/>
      <w:isLgl/>
      <w:lvlText w:val="%1.%2."/>
      <w:lvlJc w:val="left"/>
      <w:pPr>
        <w:ind w:left="525" w:hanging="525"/>
      </w:pPr>
      <w:rPr>
        <w:b w:val="0"/>
        <w:i w:val="0"/>
      </w:rPr>
    </w:lvl>
    <w:lvl w:ilvl="2">
      <w:start w:val="1"/>
      <w:numFmt w:val="decimal"/>
      <w:isLgl/>
      <w:lvlText w:val="%1.%2.%3."/>
      <w:lvlJc w:val="left"/>
      <w:pPr>
        <w:ind w:left="1500" w:hanging="720"/>
      </w:pPr>
    </w:lvl>
    <w:lvl w:ilvl="3">
      <w:start w:val="1"/>
      <w:numFmt w:val="decimal"/>
      <w:isLgl/>
      <w:lvlText w:val="%1.%2.%3.%4."/>
      <w:lvlJc w:val="left"/>
      <w:pPr>
        <w:ind w:left="1500" w:hanging="720"/>
      </w:pPr>
    </w:lvl>
    <w:lvl w:ilvl="4">
      <w:start w:val="1"/>
      <w:numFmt w:val="decimal"/>
      <w:isLgl/>
      <w:lvlText w:val="%1.%2.%3.%4.%5."/>
      <w:lvlJc w:val="left"/>
      <w:pPr>
        <w:ind w:left="1860" w:hanging="1080"/>
      </w:pPr>
    </w:lvl>
    <w:lvl w:ilvl="5">
      <w:start w:val="1"/>
      <w:numFmt w:val="decimal"/>
      <w:isLgl/>
      <w:lvlText w:val="%1.%2.%3.%4.%5.%6."/>
      <w:lvlJc w:val="left"/>
      <w:pPr>
        <w:ind w:left="1860" w:hanging="1080"/>
      </w:pPr>
    </w:lvl>
    <w:lvl w:ilvl="6">
      <w:start w:val="1"/>
      <w:numFmt w:val="decimal"/>
      <w:isLgl/>
      <w:lvlText w:val="%1.%2.%3.%4.%5.%6.%7."/>
      <w:lvlJc w:val="left"/>
      <w:pPr>
        <w:ind w:left="2220" w:hanging="1440"/>
      </w:pPr>
    </w:lvl>
    <w:lvl w:ilvl="7">
      <w:start w:val="1"/>
      <w:numFmt w:val="decimal"/>
      <w:isLgl/>
      <w:lvlText w:val="%1.%2.%3.%4.%5.%6.%7.%8."/>
      <w:lvlJc w:val="left"/>
      <w:pPr>
        <w:ind w:left="2220" w:hanging="1440"/>
      </w:pPr>
    </w:lvl>
    <w:lvl w:ilvl="8">
      <w:start w:val="1"/>
      <w:numFmt w:val="decimal"/>
      <w:isLgl/>
      <w:lvlText w:val="%1.%2.%3.%4.%5.%6.%7.%8.%9."/>
      <w:lvlJc w:val="left"/>
      <w:pPr>
        <w:ind w:left="2580" w:hanging="1800"/>
      </w:pPr>
    </w:lvl>
  </w:abstractNum>
  <w:abstractNum w:abstractNumId="6" w15:restartNumberingAfterBreak="0">
    <w:nsid w:val="5605456F"/>
    <w:multiLevelType w:val="hybridMultilevel"/>
    <w:tmpl w:val="32147E4C"/>
    <w:lvl w:ilvl="0" w:tplc="ED0EDC34">
      <w:start w:val="5"/>
      <w:numFmt w:val="decimal"/>
      <w:lvlText w:val="%1."/>
      <w:lvlJc w:val="left"/>
      <w:pPr>
        <w:ind w:left="884" w:hanging="360"/>
      </w:pPr>
      <w:rPr>
        <w:b/>
      </w:rPr>
    </w:lvl>
    <w:lvl w:ilvl="1" w:tplc="04020019">
      <w:start w:val="1"/>
      <w:numFmt w:val="lowerLetter"/>
      <w:lvlText w:val="%2."/>
      <w:lvlJc w:val="left"/>
      <w:pPr>
        <w:ind w:left="1604" w:hanging="360"/>
      </w:pPr>
    </w:lvl>
    <w:lvl w:ilvl="2" w:tplc="0402001B">
      <w:start w:val="1"/>
      <w:numFmt w:val="lowerRoman"/>
      <w:lvlText w:val="%3."/>
      <w:lvlJc w:val="right"/>
      <w:pPr>
        <w:ind w:left="2324" w:hanging="180"/>
      </w:pPr>
    </w:lvl>
    <w:lvl w:ilvl="3" w:tplc="0402000F">
      <w:start w:val="1"/>
      <w:numFmt w:val="decimal"/>
      <w:lvlText w:val="%4."/>
      <w:lvlJc w:val="left"/>
      <w:pPr>
        <w:ind w:left="3044" w:hanging="360"/>
      </w:pPr>
    </w:lvl>
    <w:lvl w:ilvl="4" w:tplc="04020019">
      <w:start w:val="1"/>
      <w:numFmt w:val="lowerLetter"/>
      <w:lvlText w:val="%5."/>
      <w:lvlJc w:val="left"/>
      <w:pPr>
        <w:ind w:left="3764" w:hanging="360"/>
      </w:pPr>
    </w:lvl>
    <w:lvl w:ilvl="5" w:tplc="0402001B">
      <w:start w:val="1"/>
      <w:numFmt w:val="lowerRoman"/>
      <w:lvlText w:val="%6."/>
      <w:lvlJc w:val="right"/>
      <w:pPr>
        <w:ind w:left="4484" w:hanging="180"/>
      </w:pPr>
    </w:lvl>
    <w:lvl w:ilvl="6" w:tplc="0402000F">
      <w:start w:val="1"/>
      <w:numFmt w:val="decimal"/>
      <w:lvlText w:val="%7."/>
      <w:lvlJc w:val="left"/>
      <w:pPr>
        <w:ind w:left="5204" w:hanging="360"/>
      </w:pPr>
    </w:lvl>
    <w:lvl w:ilvl="7" w:tplc="04020019">
      <w:start w:val="1"/>
      <w:numFmt w:val="lowerLetter"/>
      <w:lvlText w:val="%8."/>
      <w:lvlJc w:val="left"/>
      <w:pPr>
        <w:ind w:left="5924" w:hanging="360"/>
      </w:pPr>
    </w:lvl>
    <w:lvl w:ilvl="8" w:tplc="0402001B">
      <w:start w:val="1"/>
      <w:numFmt w:val="lowerRoman"/>
      <w:lvlText w:val="%9."/>
      <w:lvlJc w:val="right"/>
      <w:pPr>
        <w:ind w:left="6644" w:hanging="180"/>
      </w:pPr>
    </w:lvl>
  </w:abstractNum>
  <w:num w:numId="1">
    <w:abstractNumId w:val="4"/>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A95"/>
    <w:rsid w:val="000073C0"/>
    <w:rsid w:val="000256E9"/>
    <w:rsid w:val="0004695A"/>
    <w:rsid w:val="00064A95"/>
    <w:rsid w:val="000924F7"/>
    <w:rsid w:val="00110367"/>
    <w:rsid w:val="001473D5"/>
    <w:rsid w:val="00192CFC"/>
    <w:rsid w:val="002E1004"/>
    <w:rsid w:val="00345681"/>
    <w:rsid w:val="00356572"/>
    <w:rsid w:val="003B4E47"/>
    <w:rsid w:val="003B74FA"/>
    <w:rsid w:val="003F06F0"/>
    <w:rsid w:val="004010BA"/>
    <w:rsid w:val="004D1FF0"/>
    <w:rsid w:val="00524B49"/>
    <w:rsid w:val="00524DBD"/>
    <w:rsid w:val="00614008"/>
    <w:rsid w:val="006208FA"/>
    <w:rsid w:val="006253B5"/>
    <w:rsid w:val="00660A4D"/>
    <w:rsid w:val="0071273F"/>
    <w:rsid w:val="007130EB"/>
    <w:rsid w:val="007177F9"/>
    <w:rsid w:val="007315E8"/>
    <w:rsid w:val="00745353"/>
    <w:rsid w:val="00771572"/>
    <w:rsid w:val="0079558D"/>
    <w:rsid w:val="007E5F6C"/>
    <w:rsid w:val="00814CBC"/>
    <w:rsid w:val="008806C9"/>
    <w:rsid w:val="00940107"/>
    <w:rsid w:val="009C5515"/>
    <w:rsid w:val="009C5B15"/>
    <w:rsid w:val="00A00D11"/>
    <w:rsid w:val="00A23792"/>
    <w:rsid w:val="00A2401E"/>
    <w:rsid w:val="00A449E5"/>
    <w:rsid w:val="00A62F6B"/>
    <w:rsid w:val="00AB5FF6"/>
    <w:rsid w:val="00B00B45"/>
    <w:rsid w:val="00B25DF9"/>
    <w:rsid w:val="00B96AEC"/>
    <w:rsid w:val="00BA1F5C"/>
    <w:rsid w:val="00BB28AB"/>
    <w:rsid w:val="00BD081E"/>
    <w:rsid w:val="00BF35EE"/>
    <w:rsid w:val="00C748F1"/>
    <w:rsid w:val="00CC5796"/>
    <w:rsid w:val="00D054B6"/>
    <w:rsid w:val="00D20C7E"/>
    <w:rsid w:val="00D27A3A"/>
    <w:rsid w:val="00D4792C"/>
    <w:rsid w:val="00E723BC"/>
    <w:rsid w:val="00F17440"/>
    <w:rsid w:val="00F829A7"/>
    <w:rsid w:val="00FA44A7"/>
    <w:rsid w:val="00FF72B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4AAB6"/>
  <w15:docId w15:val="{54C2A646-2375-495D-AF4E-569B703C1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5353"/>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5353"/>
    <w:rPr>
      <w:rFonts w:ascii="Tahoma" w:hAnsi="Tahoma" w:cs="Tahoma"/>
      <w:sz w:val="16"/>
      <w:szCs w:val="16"/>
    </w:rPr>
  </w:style>
  <w:style w:type="character" w:customStyle="1" w:styleId="a4">
    <w:name w:val="Изнесен текст Знак"/>
    <w:basedOn w:val="a0"/>
    <w:link w:val="a3"/>
    <w:uiPriority w:val="99"/>
    <w:semiHidden/>
    <w:rsid w:val="00745353"/>
    <w:rPr>
      <w:rFonts w:ascii="Tahoma" w:eastAsia="Times New Roman" w:hAnsi="Tahoma" w:cs="Tahoma"/>
      <w:sz w:val="16"/>
      <w:szCs w:val="16"/>
      <w:lang w:eastAsia="bg-BG"/>
    </w:rPr>
  </w:style>
  <w:style w:type="character" w:styleId="a5">
    <w:name w:val="Hyperlink"/>
    <w:basedOn w:val="a0"/>
    <w:uiPriority w:val="99"/>
    <w:unhideWhenUsed/>
    <w:rsid w:val="00745353"/>
    <w:rPr>
      <w:color w:val="0000FF" w:themeColor="hyperlink"/>
      <w:u w:val="single"/>
    </w:rPr>
  </w:style>
  <w:style w:type="paragraph" w:styleId="a6">
    <w:name w:val="List Paragraph"/>
    <w:aliases w:val="ПАРАГРАФ,List1,Colorful List Accent 1"/>
    <w:basedOn w:val="a"/>
    <w:link w:val="a7"/>
    <w:uiPriority w:val="34"/>
    <w:qFormat/>
    <w:rsid w:val="00745353"/>
    <w:pPr>
      <w:ind w:left="720"/>
      <w:contextualSpacing/>
    </w:pPr>
  </w:style>
  <w:style w:type="paragraph" w:styleId="a8">
    <w:name w:val="Normal (Web)"/>
    <w:basedOn w:val="a"/>
    <w:uiPriority w:val="99"/>
    <w:semiHidden/>
    <w:unhideWhenUsed/>
    <w:rsid w:val="00660A4D"/>
    <w:pPr>
      <w:spacing w:before="100" w:beforeAutospacing="1" w:after="100" w:afterAutospacing="1"/>
    </w:pPr>
    <w:rPr>
      <w:rFonts w:eastAsiaTheme="minorEastAsia"/>
    </w:rPr>
  </w:style>
  <w:style w:type="paragraph" w:customStyle="1" w:styleId="Default">
    <w:name w:val="Default"/>
    <w:rsid w:val="008806C9"/>
    <w:pPr>
      <w:autoSpaceDE w:val="0"/>
      <w:autoSpaceDN w:val="0"/>
      <w:adjustRightInd w:val="0"/>
      <w:spacing w:after="0" w:line="240" w:lineRule="auto"/>
    </w:pPr>
    <w:rPr>
      <w:rFonts w:ascii="Times New Roman" w:hAnsi="Times New Roman" w:cs="Times New Roman"/>
      <w:color w:val="000000"/>
      <w:sz w:val="24"/>
      <w:szCs w:val="24"/>
      <w:lang w:bidi="my-MM"/>
    </w:rPr>
  </w:style>
  <w:style w:type="paragraph" w:customStyle="1" w:styleId="Bodytext20">
    <w:name w:val="Body text (2)0"/>
    <w:basedOn w:val="a"/>
    <w:rsid w:val="00524B49"/>
    <w:pPr>
      <w:widowControl w:val="0"/>
      <w:shd w:val="clear" w:color="auto" w:fill="FFFFFF"/>
      <w:spacing w:line="418" w:lineRule="exact"/>
      <w:jc w:val="both"/>
    </w:pPr>
    <w:rPr>
      <w:color w:val="000000"/>
      <w:lang w:bidi="bg-BG"/>
    </w:rPr>
  </w:style>
  <w:style w:type="character" w:customStyle="1" w:styleId="a7">
    <w:name w:val="Списък на абзаци Знак"/>
    <w:aliases w:val="ПАРАГРАФ Знак,List1 Знак,Colorful List Accent 1 Знак"/>
    <w:link w:val="a6"/>
    <w:uiPriority w:val="34"/>
    <w:locked/>
    <w:rsid w:val="00524B49"/>
    <w:rPr>
      <w:rFonts w:ascii="Times New Roman" w:eastAsia="Times New Roman" w:hAnsi="Times New Roman" w:cs="Times New Roman"/>
      <w:sz w:val="24"/>
      <w:szCs w:val="24"/>
      <w:lang w:eastAsia="bg-BG"/>
    </w:rPr>
  </w:style>
  <w:style w:type="character" w:customStyle="1" w:styleId="Heading211">
    <w:name w:val="Heading 211"/>
    <w:basedOn w:val="a0"/>
    <w:link w:val="Heading20"/>
    <w:locked/>
    <w:rsid w:val="00524B49"/>
    <w:rPr>
      <w:rFonts w:ascii="Times New Roman" w:eastAsia="Times New Roman" w:hAnsi="Times New Roman" w:cs="Times New Roman"/>
      <w:b/>
      <w:bCs/>
      <w:shd w:val="clear" w:color="auto" w:fill="FFFFFF"/>
    </w:rPr>
  </w:style>
  <w:style w:type="paragraph" w:customStyle="1" w:styleId="Heading20">
    <w:name w:val="Heading #20"/>
    <w:basedOn w:val="a"/>
    <w:link w:val="Heading211"/>
    <w:rsid w:val="00524B49"/>
    <w:pPr>
      <w:widowControl w:val="0"/>
      <w:shd w:val="clear" w:color="auto" w:fill="FFFFFF"/>
      <w:spacing w:line="410" w:lineRule="exact"/>
      <w:jc w:val="both"/>
      <w:outlineLvl w:val="1"/>
    </w:pPr>
    <w:rPr>
      <w:b/>
      <w:bCs/>
      <w:sz w:val="22"/>
      <w:szCs w:val="22"/>
      <w:lang w:eastAsia="en-US"/>
    </w:rPr>
  </w:style>
  <w:style w:type="character" w:customStyle="1" w:styleId="Bodytext4">
    <w:name w:val="Body text (4)_"/>
    <w:basedOn w:val="a0"/>
    <w:link w:val="Bodytext40"/>
    <w:locked/>
    <w:rsid w:val="00D054B6"/>
    <w:rPr>
      <w:rFonts w:ascii="Times New Roman" w:eastAsia="Times New Roman" w:hAnsi="Times New Roman" w:cs="Times New Roman"/>
      <w:i/>
      <w:iCs/>
      <w:shd w:val="clear" w:color="auto" w:fill="FFFFFF"/>
    </w:rPr>
  </w:style>
  <w:style w:type="paragraph" w:customStyle="1" w:styleId="Bodytext40">
    <w:name w:val="Body text (4)"/>
    <w:basedOn w:val="a"/>
    <w:link w:val="Bodytext4"/>
    <w:rsid w:val="00D054B6"/>
    <w:pPr>
      <w:widowControl w:val="0"/>
      <w:shd w:val="clear" w:color="auto" w:fill="FFFFFF"/>
      <w:spacing w:line="410" w:lineRule="exact"/>
      <w:jc w:val="both"/>
    </w:pPr>
    <w:rPr>
      <w:i/>
      <w:iCs/>
      <w:sz w:val="22"/>
      <w:szCs w:val="22"/>
      <w:lang w:eastAsia="en-US"/>
    </w:rPr>
  </w:style>
  <w:style w:type="paragraph" w:customStyle="1" w:styleId="Bodytext30">
    <w:name w:val="Body text (3)0"/>
    <w:basedOn w:val="a"/>
    <w:rsid w:val="00D054B6"/>
    <w:pPr>
      <w:widowControl w:val="0"/>
      <w:shd w:val="clear" w:color="auto" w:fill="FFFFFF"/>
      <w:spacing w:line="414" w:lineRule="exact"/>
      <w:jc w:val="center"/>
    </w:pPr>
    <w:rPr>
      <w:b/>
      <w:bCs/>
      <w:color w:val="000000"/>
      <w:lang w:bidi="bg-BG"/>
    </w:rPr>
  </w:style>
  <w:style w:type="paragraph" w:customStyle="1" w:styleId="Bodytext50">
    <w:name w:val="Body text (5)0"/>
    <w:basedOn w:val="a"/>
    <w:rsid w:val="00D054B6"/>
    <w:pPr>
      <w:widowControl w:val="0"/>
      <w:shd w:val="clear" w:color="auto" w:fill="FFFFFF"/>
      <w:spacing w:line="410" w:lineRule="exact"/>
      <w:ind w:firstLine="760"/>
      <w:jc w:val="both"/>
    </w:pPr>
    <w:rPr>
      <w:b/>
      <w:bCs/>
      <w:i/>
      <w:iCs/>
      <w:color w:val="000000"/>
      <w:lang w:bidi="bg-BG"/>
    </w:rPr>
  </w:style>
  <w:style w:type="character" w:customStyle="1" w:styleId="Bodytext2Bold">
    <w:name w:val="Body text (2) + Bold"/>
    <w:basedOn w:val="a0"/>
    <w:rsid w:val="00D054B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character" w:customStyle="1" w:styleId="Bodytext4Bold">
    <w:name w:val="Body text (4) + Bold"/>
    <w:basedOn w:val="Bodytext4"/>
    <w:rsid w:val="00D054B6"/>
    <w:rPr>
      <w:rFonts w:ascii="Times New Roman" w:eastAsia="Times New Roman" w:hAnsi="Times New Roman" w:cs="Times New Roman"/>
      <w:b/>
      <w:bCs/>
      <w:i/>
      <w:iCs/>
      <w:color w:val="000000"/>
      <w:spacing w:val="0"/>
      <w:w w:val="100"/>
      <w:position w:val="0"/>
      <w:sz w:val="24"/>
      <w:szCs w:val="24"/>
      <w:u w:val="single"/>
      <w:shd w:val="clear" w:color="auto" w:fill="FFFFFF"/>
      <w:lang w:val="bg-BG" w:eastAsia="bg-BG" w:bidi="bg-BG"/>
    </w:rPr>
  </w:style>
  <w:style w:type="character" w:customStyle="1" w:styleId="Heading2NotBold">
    <w:name w:val="Heading #2 + Not Bold"/>
    <w:basedOn w:val="a0"/>
    <w:rsid w:val="00D054B6"/>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character" w:customStyle="1" w:styleId="Bodytext4Bold00">
    <w:name w:val="Body text (4) + Bold00"/>
    <w:basedOn w:val="Bodytext4"/>
    <w:rsid w:val="00D054B6"/>
    <w:rPr>
      <w:rFonts w:ascii="Times New Roman" w:eastAsia="Times New Roman" w:hAnsi="Times New Roman" w:cs="Times New Roman"/>
      <w:b/>
      <w:bCs/>
      <w:i/>
      <w:iCs/>
      <w:color w:val="000000"/>
      <w:spacing w:val="0"/>
      <w:w w:val="100"/>
      <w:position w:val="0"/>
      <w:sz w:val="24"/>
      <w:szCs w:val="24"/>
      <w:shd w:val="clear" w:color="auto" w:fill="FFFFFF"/>
      <w:lang w:val="bg-BG" w:eastAsia="bg-BG" w:bidi="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329130">
      <w:bodyDiv w:val="1"/>
      <w:marLeft w:val="0"/>
      <w:marRight w:val="0"/>
      <w:marTop w:val="0"/>
      <w:marBottom w:val="0"/>
      <w:divBdr>
        <w:top w:val="none" w:sz="0" w:space="0" w:color="auto"/>
        <w:left w:val="none" w:sz="0" w:space="0" w:color="auto"/>
        <w:bottom w:val="none" w:sz="0" w:space="0" w:color="auto"/>
        <w:right w:val="none" w:sz="0" w:space="0" w:color="auto"/>
      </w:divBdr>
    </w:div>
    <w:div w:id="694120201">
      <w:bodyDiv w:val="1"/>
      <w:marLeft w:val="0"/>
      <w:marRight w:val="0"/>
      <w:marTop w:val="0"/>
      <w:marBottom w:val="0"/>
      <w:divBdr>
        <w:top w:val="none" w:sz="0" w:space="0" w:color="auto"/>
        <w:left w:val="none" w:sz="0" w:space="0" w:color="auto"/>
        <w:bottom w:val="none" w:sz="0" w:space="0" w:color="auto"/>
        <w:right w:val="none" w:sz="0" w:space="0" w:color="auto"/>
      </w:divBdr>
    </w:div>
    <w:div w:id="1134559908">
      <w:bodyDiv w:val="1"/>
      <w:marLeft w:val="0"/>
      <w:marRight w:val="0"/>
      <w:marTop w:val="0"/>
      <w:marBottom w:val="0"/>
      <w:divBdr>
        <w:top w:val="none" w:sz="0" w:space="0" w:color="auto"/>
        <w:left w:val="none" w:sz="0" w:space="0" w:color="auto"/>
        <w:bottom w:val="none" w:sz="0" w:space="0" w:color="auto"/>
        <w:right w:val="none" w:sz="0" w:space="0" w:color="auto"/>
      </w:divBdr>
    </w:div>
    <w:div w:id="1312638509">
      <w:bodyDiv w:val="1"/>
      <w:marLeft w:val="0"/>
      <w:marRight w:val="0"/>
      <w:marTop w:val="0"/>
      <w:marBottom w:val="0"/>
      <w:divBdr>
        <w:top w:val="none" w:sz="0" w:space="0" w:color="auto"/>
        <w:left w:val="none" w:sz="0" w:space="0" w:color="auto"/>
        <w:bottom w:val="none" w:sz="0" w:space="0" w:color="auto"/>
        <w:right w:val="none" w:sz="0" w:space="0" w:color="auto"/>
      </w:divBdr>
    </w:div>
    <w:div w:id="1908104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u_draganovec@abv.b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3058</Words>
  <Characters>17437</Characters>
  <Application>Microsoft Office Word</Application>
  <DocSecurity>0</DocSecurity>
  <Lines>145</Lines>
  <Paragraphs>40</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20455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Maria_PC</cp:lastModifiedBy>
  <cp:revision>2</cp:revision>
  <cp:lastPrinted>2023-09-27T08:44:00Z</cp:lastPrinted>
  <dcterms:created xsi:type="dcterms:W3CDTF">2025-03-19T06:16:00Z</dcterms:created>
  <dcterms:modified xsi:type="dcterms:W3CDTF">2025-03-19T06:16:00Z</dcterms:modified>
</cp:coreProperties>
</file>